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2099"/>
        <w:tblW w:w="0" w:type="auto"/>
        <w:tblInd w:w="0" w:type="dxa"/>
        <w:tblLayout w:type="fixed"/>
        <w:tblCellMar>
          <w:top w:w="0" w:type="dxa"/>
          <w:left w:w="108" w:type="dxa"/>
          <w:bottom w:w="0" w:type="dxa"/>
          <w:right w:w="108" w:type="dxa"/>
        </w:tblCellMar>
      </w:tblPr>
      <w:tblGrid>
        <w:gridCol w:w="5037"/>
        <w:gridCol w:w="1749"/>
        <w:gridCol w:w="2330"/>
      </w:tblGrid>
      <w:tr w14:paraId="4B01B23C">
        <w:trPr>
          <w:wBefore w:w="0" w:type="auto"/>
          <w:trHeight w:val="1720" w:hRule="atLeast"/>
        </w:trPr>
        <w:tc>
          <w:tcPr>
            <w:tcW w:w="5037" w:type="dxa"/>
            <w:noWrap w:val="0"/>
            <w:vAlign w:val="top"/>
          </w:tcPr>
          <w:p w14:paraId="3E73314A">
            <w:pPr>
              <w:pStyle w:val="2"/>
              <w:spacing w:after="113"/>
              <w:ind w:right="-3"/>
              <w:rPr>
                <w:rFonts w:ascii="宋体"/>
                <w:b/>
                <w:color w:val="FF0000"/>
                <w:w w:val="80"/>
                <w:sz w:val="28"/>
              </w:rPr>
            </w:pPr>
            <w:r>
              <w:rPr>
                <w:rFonts w:hint="eastAsia" w:ascii="宋体"/>
                <w:b/>
                <w:color w:val="FF0000"/>
                <w:w w:val="80"/>
                <w:sz w:val="90"/>
              </w:rPr>
              <w:t>浙江工业大学</w:t>
            </w:r>
            <w:r>
              <w:rPr>
                <w:rFonts w:ascii="宋体"/>
                <w:b/>
                <w:color w:val="FF0000"/>
                <w:w w:val="80"/>
                <w:sz w:val="90"/>
              </w:rPr>
              <w:t>(</w:t>
            </w:r>
          </w:p>
        </w:tc>
        <w:tc>
          <w:tcPr>
            <w:tcW w:w="1749" w:type="dxa"/>
            <w:noWrap w:val="0"/>
            <w:vAlign w:val="top"/>
          </w:tcPr>
          <w:p w14:paraId="103F9A27">
            <w:pPr>
              <w:snapToGrid w:val="0"/>
              <w:jc w:val="center"/>
              <w:rPr>
                <w:rFonts w:hint="eastAsia" w:ascii="宋体" w:hAnsi="宋体" w:eastAsia="宋体"/>
                <w:sz w:val="24"/>
              </w:rPr>
            </w:pPr>
            <w:bookmarkStart w:id="0" w:name="发文部门"/>
          </w:p>
          <w:p w14:paraId="1B12E68F">
            <w:pPr>
              <w:snapToGrid w:val="0"/>
              <w:jc w:val="center"/>
              <w:rPr>
                <w:rFonts w:hint="eastAsia" w:ascii="宋体" w:hAnsi="宋体" w:eastAsia="宋体"/>
                <w:bCs/>
                <w:color w:val="000000"/>
                <w:w w:val="80"/>
                <w:sz w:val="24"/>
              </w:rPr>
            </w:pPr>
            <w:r>
              <w:rPr>
                <w:rFonts w:hint="eastAsia" w:ascii="宋体" w:hAnsi="宋体" w:eastAsia="宋体"/>
                <w:sz w:val="22"/>
              </w:rPr>
              <w:t>研究生院（学科建设处）</w:t>
            </w:r>
            <w:r>
              <w:rPr>
                <w:rFonts w:ascii="宋体" w:hAnsi="宋体" w:eastAsia="宋体"/>
                <w:sz w:val="22"/>
              </w:rPr>
              <w:t>/研究生工作部</w:t>
            </w:r>
            <w:bookmarkEnd w:id="0"/>
          </w:p>
          <w:p w14:paraId="74E2180B">
            <w:pPr>
              <w:jc w:val="center"/>
              <w:rPr>
                <w:rFonts w:eastAsia="宋体"/>
                <w:bCs/>
                <w:sz w:val="28"/>
              </w:rPr>
            </w:pPr>
          </w:p>
        </w:tc>
        <w:tc>
          <w:tcPr>
            <w:tcW w:w="2330" w:type="dxa"/>
            <w:noWrap w:val="0"/>
            <w:vAlign w:val="top"/>
          </w:tcPr>
          <w:p w14:paraId="5BE807C9">
            <w:pPr>
              <w:pStyle w:val="2"/>
              <w:spacing w:after="113"/>
              <w:ind w:right="-3"/>
              <w:rPr>
                <w:rFonts w:ascii="宋体"/>
                <w:b/>
                <w:color w:val="FF0000"/>
                <w:w w:val="80"/>
                <w:sz w:val="28"/>
              </w:rPr>
            </w:pPr>
            <w:r>
              <w:rPr>
                <w:rFonts w:hint="eastAsia" w:ascii="宋体"/>
                <w:b/>
                <w:color w:val="FF0000"/>
                <w:w w:val="80"/>
                <w:sz w:val="90"/>
              </w:rPr>
              <w:t>)文件</w:t>
            </w:r>
          </w:p>
        </w:tc>
      </w:tr>
    </w:tbl>
    <w:p w14:paraId="27B82FCC">
      <w:pPr>
        <w:jc w:val="center"/>
        <w:rPr>
          <w:rFonts w:hint="eastAsia" w:ascii="宋体" w:hAnsi="宋体" w:eastAsia="宋体"/>
          <w:kern w:val="0"/>
          <w:lang/>
        </w:rPr>
      </w:pPr>
      <w:r>
        <w:rPr>
          <w:rFonts w:ascii="宋体" w:hAnsi="宋体" w:eastAsia="宋体"/>
          <w:kern w:val="0"/>
          <w:sz w:val="20"/>
          <w:lang/>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1465580</wp:posOffset>
                </wp:positionV>
                <wp:extent cx="5855970" cy="366395"/>
                <wp:effectExtent l="0" t="0" r="0" b="0"/>
                <wp:wrapNone/>
                <wp:docPr id="1" name="文本框 3"/>
                <wp:cNvGraphicFramePr/>
                <a:graphic xmlns:a="http://schemas.openxmlformats.org/drawingml/2006/main">
                  <a:graphicData uri="http://schemas.microsoft.com/office/word/2010/wordprocessingShape">
                    <wps:wsp>
                      <wps:cNvSpPr txBox="1"/>
                      <wps:spPr>
                        <a:xfrm flipV="1">
                          <a:off x="0" y="0"/>
                          <a:ext cx="5855970" cy="366395"/>
                        </a:xfrm>
                        <a:prstGeom prst="rect">
                          <a:avLst/>
                        </a:prstGeom>
                        <a:noFill/>
                        <a:ln>
                          <a:noFill/>
                        </a:ln>
                      </wps:spPr>
                      <wps:txbx>
                        <w:txbxContent>
                          <w:p w14:paraId="17B4690F">
                            <w:pPr>
                              <w:jc w:val="center"/>
                            </w:pPr>
                            <w:r>
                              <w:rPr>
                                <w:rFonts w:hint="eastAsia"/>
                                <w:kern w:val="0"/>
                                <w:lang/>
                              </w:rPr>
                              <w:drawing>
                                <wp:inline distT="0" distB="0" distL="114300" distR="114300">
                                  <wp:extent cx="5399405" cy="35560"/>
                                  <wp:effectExtent l="0" t="0" r="10795" b="2540"/>
                                  <wp:docPr id="2" name="图片 1"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ocuments"/>
                                          <pic:cNvPicPr>
                                            <a:picLocks noChangeAspect="1"/>
                                          </pic:cNvPicPr>
                                        </pic:nvPicPr>
                                        <pic:blipFill>
                                          <a:blip r:embed="rId6"/>
                                          <a:stretch>
                                            <a:fillRect/>
                                          </a:stretch>
                                        </pic:blipFill>
                                        <pic:spPr>
                                          <a:xfrm>
                                            <a:off x="0" y="0"/>
                                            <a:ext cx="5399405" cy="35560"/>
                                          </a:xfrm>
                                          <a:prstGeom prst="rect">
                                            <a:avLst/>
                                          </a:prstGeom>
                                          <a:noFill/>
                                          <a:ln>
                                            <a:noFill/>
                                          </a:ln>
                                        </pic:spPr>
                                      </pic:pic>
                                    </a:graphicData>
                                  </a:graphic>
                                </wp:inline>
                              </w:drawing>
                            </w:r>
                          </w:p>
                        </w:txbxContent>
                      </wps:txbx>
                      <wps:bodyPr wrap="square" upright="1"/>
                    </wps:wsp>
                  </a:graphicData>
                </a:graphic>
              </wp:anchor>
            </w:drawing>
          </mc:Choice>
          <mc:Fallback>
            <w:pict>
              <v:shape id="文本框 3" o:spid="_x0000_s1026" o:spt="202" type="#_x0000_t202" style="position:absolute;left:0pt;flip:y;margin-left:-7.95pt;margin-top:115.4pt;height:28.85pt;width:461.1pt;z-index:251659264;mso-width-relative:page;mso-height-relative:page;" filled="f" stroked="f" coordsize="21600,21600" o:gfxdata="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V/BGtwAAAALAQAADwAAAAAAAAABACAAAAAiAAAAZHJzL2Rvd25yZXYu&#10;eG1sUEsBAhQAFAAAAAgAh07iQA44i/m+AQAAZgMAAA4AAAAAAAAAAQAgAAAAKwEAAGRycy9lMm9E&#10;b2MueG1sUEsFBgAAAAAGAAYAWQEAAFsFAAAAAA==&#10;">
                <v:fill on="f" focussize="0,0"/>
                <v:stroke on="f"/>
                <v:imagedata o:title=""/>
                <o:lock v:ext="edit" aspectratio="f"/>
                <v:textbox>
                  <w:txbxContent>
                    <w:p w14:paraId="17B4690F">
                      <w:pPr>
                        <w:jc w:val="center"/>
                      </w:pPr>
                      <w:r>
                        <w:rPr>
                          <w:rFonts w:hint="eastAsia"/>
                          <w:kern w:val="0"/>
                          <w:lang/>
                        </w:rPr>
                        <w:drawing>
                          <wp:inline distT="0" distB="0" distL="114300" distR="114300">
                            <wp:extent cx="5399405" cy="35560"/>
                            <wp:effectExtent l="0" t="0" r="10795" b="2540"/>
                            <wp:docPr id="2" name="图片 1"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ocuments"/>
                                    <pic:cNvPicPr>
                                      <a:picLocks noChangeAspect="1"/>
                                    </pic:cNvPicPr>
                                  </pic:nvPicPr>
                                  <pic:blipFill>
                                    <a:blip r:embed="rId6"/>
                                    <a:stretch>
                                      <a:fillRect/>
                                    </a:stretch>
                                  </pic:blipFill>
                                  <pic:spPr>
                                    <a:xfrm>
                                      <a:off x="0" y="0"/>
                                      <a:ext cx="5399405" cy="35560"/>
                                    </a:xfrm>
                                    <a:prstGeom prst="rect">
                                      <a:avLst/>
                                    </a:prstGeom>
                                    <a:noFill/>
                                    <a:ln>
                                      <a:noFill/>
                                    </a:ln>
                                  </pic:spPr>
                                </pic:pic>
                              </a:graphicData>
                            </a:graphic>
                          </wp:inline>
                        </w:drawing>
                      </w:r>
                    </w:p>
                  </w:txbxContent>
                </v:textbox>
              </v:shape>
            </w:pict>
          </mc:Fallback>
        </mc:AlternateContent>
      </w:r>
      <w:bookmarkStart w:id="1" w:name="字A"/>
      <w:r>
        <w:rPr>
          <w:rFonts w:hint="eastAsia" w:ascii="宋体" w:hAnsi="宋体" w:eastAsia="宋体"/>
          <w:kern w:val="0"/>
          <w:sz w:val="28"/>
          <w:lang/>
        </w:rPr>
        <w:t>浙工大研</w:t>
      </w:r>
      <w:bookmarkEnd w:id="1"/>
      <w:r>
        <w:rPr>
          <w:rFonts w:hint="eastAsia" w:ascii="宋体" w:hAnsi="宋体" w:eastAsia="宋体"/>
          <w:kern w:val="0"/>
          <w:sz w:val="28"/>
          <w:szCs w:val="28"/>
          <w:lang/>
        </w:rPr>
        <w:t>〔</w:t>
      </w:r>
      <w:bookmarkStart w:id="2" w:name="字C"/>
      <w:r>
        <w:rPr>
          <w:rFonts w:ascii="宋体" w:hAnsi="宋体" w:eastAsia="宋体"/>
          <w:kern w:val="0"/>
          <w:sz w:val="28"/>
          <w:lang/>
        </w:rPr>
        <w:t>2021</w:t>
      </w:r>
      <w:bookmarkEnd w:id="2"/>
      <w:r>
        <w:rPr>
          <w:rFonts w:hint="eastAsia" w:ascii="宋体" w:hAnsi="宋体" w:eastAsia="宋体"/>
          <w:kern w:val="0"/>
          <w:sz w:val="28"/>
          <w:szCs w:val="28"/>
          <w:lang/>
        </w:rPr>
        <w:t>〕</w:t>
      </w:r>
      <w:bookmarkStart w:id="3" w:name="字D"/>
      <w:r>
        <w:rPr>
          <w:rFonts w:ascii="宋体" w:hAnsi="宋体" w:eastAsia="宋体"/>
          <w:kern w:val="0"/>
          <w:sz w:val="28"/>
          <w:lang/>
        </w:rPr>
        <w:t>16</w:t>
      </w:r>
      <w:bookmarkEnd w:id="3"/>
      <w:r>
        <w:rPr>
          <w:rFonts w:hint="eastAsia" w:ascii="宋体" w:hAnsi="宋体" w:eastAsia="宋体"/>
          <w:kern w:val="0"/>
          <w:lang/>
        </w:rPr>
        <w:t>号</w:t>
      </w:r>
    </w:p>
    <w:p w14:paraId="2D914EA0">
      <w:pPr>
        <w:jc w:val="center"/>
        <w:rPr>
          <w:rFonts w:hint="eastAsia"/>
          <w:kern w:val="0"/>
          <w:lang/>
        </w:rPr>
      </w:pPr>
    </w:p>
    <w:p w14:paraId="5635FB79">
      <w:pPr>
        <w:jc w:val="center"/>
        <w:rPr>
          <w:rFonts w:hint="eastAsia"/>
          <w:kern w:val="0"/>
          <w:lang/>
        </w:rPr>
      </w:pPr>
    </w:p>
    <w:p w14:paraId="31E4D2BD">
      <w:pPr>
        <w:snapToGrid w:val="0"/>
        <w:spacing w:line="520" w:lineRule="exact"/>
        <w:jc w:val="center"/>
        <w:rPr>
          <w:rFonts w:hint="eastAsia" w:ascii="方正小标宋简体" w:eastAsia="方正小标宋简体"/>
          <w:kern w:val="0"/>
          <w:sz w:val="44"/>
          <w:szCs w:val="44"/>
          <w:lang/>
        </w:rPr>
      </w:pPr>
      <w:r>
        <w:rPr>
          <w:rFonts w:hint="eastAsia" w:ascii="方正小标宋简体" w:eastAsia="方正小标宋简体"/>
          <w:kern w:val="0"/>
          <w:sz w:val="44"/>
          <w:szCs w:val="44"/>
          <w:lang/>
        </w:rPr>
        <w:t>浙江工业大学研究生院（学科建设处）关于</w:t>
      </w:r>
    </w:p>
    <w:p w14:paraId="23B60AE2">
      <w:pPr>
        <w:snapToGrid w:val="0"/>
        <w:spacing w:line="520" w:lineRule="exact"/>
        <w:jc w:val="center"/>
        <w:rPr>
          <w:rFonts w:hint="eastAsia" w:ascii="方正小标宋简体" w:eastAsia="方正小标宋简体"/>
          <w:kern w:val="0"/>
          <w:sz w:val="44"/>
          <w:szCs w:val="44"/>
          <w:lang/>
        </w:rPr>
      </w:pPr>
      <w:r>
        <w:rPr>
          <w:rFonts w:hint="eastAsia" w:ascii="方正小标宋简体" w:eastAsia="方正小标宋简体"/>
          <w:kern w:val="0"/>
          <w:sz w:val="44"/>
          <w:szCs w:val="44"/>
          <w:lang/>
        </w:rPr>
        <w:t>印发《浙江工业大学专业学位研究生</w:t>
      </w:r>
    </w:p>
    <w:p w14:paraId="5A578D28">
      <w:pPr>
        <w:snapToGrid w:val="0"/>
        <w:spacing w:line="520" w:lineRule="exact"/>
        <w:jc w:val="center"/>
        <w:rPr>
          <w:rFonts w:hint="eastAsia" w:ascii="方正小标宋简体" w:eastAsia="方正小标宋简体"/>
          <w:kern w:val="0"/>
          <w:sz w:val="44"/>
          <w:szCs w:val="44"/>
          <w:lang/>
        </w:rPr>
      </w:pPr>
      <w:r>
        <w:rPr>
          <w:rFonts w:hint="eastAsia" w:ascii="方正小标宋简体" w:eastAsia="方正小标宋简体"/>
          <w:kern w:val="0"/>
          <w:sz w:val="44"/>
          <w:szCs w:val="44"/>
          <w:lang/>
        </w:rPr>
        <w:t>实践环节管理规定》的通知</w:t>
      </w:r>
    </w:p>
    <w:p w14:paraId="27038A98">
      <w:pPr>
        <w:jc w:val="center"/>
        <w:rPr>
          <w:color w:val="FF0000"/>
        </w:rPr>
      </w:pPr>
      <w:r>
        <w:rPr>
          <w:kern w:val="0"/>
          <w:lang/>
        </w:rPr>
        <w:t> </w:t>
      </w:r>
    </w:p>
    <w:p w14:paraId="1BE8D029">
      <w:pPr>
        <w:rPr>
          <w:rFonts w:ascii="宋体" w:hAnsi="宋体"/>
          <w:color w:val="000000"/>
          <w:szCs w:val="32"/>
        </w:rPr>
      </w:pPr>
      <w:bookmarkStart w:id="4" w:name="Content"/>
      <w:bookmarkEnd w:id="4"/>
      <w:r>
        <w:rPr>
          <w:rFonts w:hint="eastAsia" w:ascii="宋体" w:hAnsi="宋体"/>
          <w:color w:val="000000"/>
          <w:szCs w:val="32"/>
        </w:rPr>
        <w:t>各学院：</w:t>
      </w:r>
    </w:p>
    <w:p w14:paraId="01E1C11F">
      <w:pPr>
        <w:rPr>
          <w:rFonts w:hint="eastAsia" w:ascii="宋体" w:hAnsi="宋体"/>
          <w:color w:val="000000"/>
          <w:szCs w:val="32"/>
        </w:rPr>
      </w:pP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现将《</w:t>
      </w:r>
      <w:bookmarkStart w:id="11" w:name="_GoBack"/>
      <w:r>
        <w:rPr>
          <w:rFonts w:hint="eastAsia" w:ascii="宋体" w:hAnsi="宋体"/>
          <w:color w:val="000000"/>
          <w:szCs w:val="32"/>
        </w:rPr>
        <w:t>浙江工业大学专业学位研究生实践环节管理规定</w:t>
      </w:r>
      <w:bookmarkEnd w:id="11"/>
      <w:r>
        <w:rPr>
          <w:rFonts w:hint="eastAsia" w:ascii="宋体" w:hAnsi="宋体"/>
          <w:color w:val="000000"/>
          <w:szCs w:val="32"/>
        </w:rPr>
        <w:t>》印发给你们，请遵照执行。</w:t>
      </w:r>
    </w:p>
    <w:p w14:paraId="0AB97885">
      <w:pPr>
        <w:jc w:val="center"/>
        <w:rPr>
          <w:rFonts w:hint="eastAsia"/>
        </w:rPr>
      </w:pPr>
    </w:p>
    <w:p w14:paraId="01A02289">
      <w:pPr>
        <w:jc w:val="center"/>
        <w:rPr>
          <w:rFonts w:hint="eastAsia"/>
        </w:rPr>
      </w:pPr>
    </w:p>
    <w:p w14:paraId="63380FBB">
      <w:pPr>
        <w:pStyle w:val="4"/>
        <w:snapToGrid/>
        <w:jc w:val="center"/>
        <w:rPr>
          <w:rFonts w:hint="eastAsia" w:ascii="仿宋_GB2312" w:hAnsi="Times New Roman"/>
        </w:rPr>
      </w:pPr>
      <w:r>
        <w:rPr>
          <w:rFonts w:hint="eastAsia" w:ascii="仿宋_GB2312"/>
          <w:szCs w:val="32"/>
        </w:rPr>
        <w:t xml:space="preserve">      </w:t>
      </w:r>
      <w:bookmarkStart w:id="5" w:name="发文单位落款"/>
      <w:r>
        <w:rPr>
          <w:rFonts w:hint="eastAsia" w:ascii="仿宋_GB2312"/>
          <w:szCs w:val="32"/>
        </w:rPr>
        <w:t>研究生院（学科建设处）/研究生工作部</w:t>
      </w:r>
      <w:bookmarkEnd w:id="5"/>
    </w:p>
    <w:p w14:paraId="08CF3BA7">
      <w:pPr>
        <w:jc w:val="center"/>
        <w:rPr>
          <w:rFonts w:hint="eastAsia"/>
        </w:rPr>
      </w:pPr>
      <w:r>
        <w:rPr>
          <w:rFonts w:hint="eastAsia" w:ascii="仿宋_GB2312"/>
          <w:szCs w:val="32"/>
        </w:rPr>
        <w:t xml:space="preserve">               2021年6月16日    </w:t>
      </w:r>
    </w:p>
    <w:p w14:paraId="59F9B5DD">
      <w:pPr>
        <w:spacing w:after="288" w:afterLines="50" w:line="720" w:lineRule="exact"/>
        <w:ind w:left="1020" w:leftChars="321" w:right="1971" w:rightChars="620" w:firstLine="147"/>
        <w:jc w:val="center"/>
        <w:rPr>
          <w:rFonts w:ascii="方正小标宋简体" w:hAnsi="Calibri" w:eastAsia="方正小标宋简体"/>
          <w:sz w:val="44"/>
          <w:szCs w:val="44"/>
        </w:rPr>
      </w:pPr>
      <w:r>
        <w:br w:type="page"/>
      </w:r>
      <w:r>
        <w:rPr>
          <w:rFonts w:hint="eastAsia" w:ascii="方正小标宋简体" w:hAnsi="Calibri" w:eastAsia="方正小标宋简体"/>
          <w:sz w:val="44"/>
          <w:szCs w:val="44"/>
        </w:rPr>
        <w:t>浙江工业大学专业学位研究生实践环节管理规定</w:t>
      </w:r>
    </w:p>
    <w:p w14:paraId="39964832">
      <w:pPr>
        <w:autoSpaceDE w:val="0"/>
        <w:autoSpaceDN w:val="0"/>
        <w:spacing w:line="600" w:lineRule="exact"/>
        <w:ind w:firstLine="3021" w:firstLineChars="950"/>
        <w:rPr>
          <w:rFonts w:hint="eastAsia" w:ascii="仿宋_GB2312" w:hAnsi="仿宋" w:cs="宋体"/>
          <w:b/>
          <w:kern w:val="0"/>
          <w:szCs w:val="32"/>
        </w:rPr>
      </w:pPr>
      <w:r>
        <w:rPr>
          <w:rFonts w:hint="eastAsia" w:ascii="仿宋_GB2312" w:hAnsi="仿宋" w:cs="宋体"/>
          <w:b/>
          <w:kern w:val="0"/>
          <w:szCs w:val="32"/>
        </w:rPr>
        <w:t>第一章 总 则</w:t>
      </w:r>
    </w:p>
    <w:p w14:paraId="53642619">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kern w:val="0"/>
          <w:szCs w:val="32"/>
        </w:rPr>
        <w:t>第一条</w:t>
      </w:r>
      <w:r>
        <w:rPr>
          <w:rFonts w:hint="eastAsia" w:ascii="仿宋_GB2312" w:hAnsi="仿宋" w:cs="宋体"/>
          <w:kern w:val="0"/>
          <w:szCs w:val="32"/>
        </w:rPr>
        <w:t xml:space="preserve"> 为贯彻落实《国务院学位委员会 教育部关于进一步严格规范学位与研究生教育质量管理的若干意见》（学位〔2020〕19号）和《专业学位研究生教育发展方案（2020-2025）》文件精神以及全国专业学位研究生教育指导委员会要求，规范实践环节的安排、管理和考核，保证专业实践训练的有效性和针对性，培养专业学位研究生实践能力和创新能力，特制定本办法。</w:t>
      </w:r>
    </w:p>
    <w:p w14:paraId="192D0529">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spacing w:val="-10"/>
          <w:kern w:val="0"/>
          <w:szCs w:val="32"/>
        </w:rPr>
        <w:t>第二条</w:t>
      </w:r>
      <w:r>
        <w:rPr>
          <w:rFonts w:hint="eastAsia" w:ascii="仿宋_GB2312" w:hAnsi="仿宋" w:cs="宋体"/>
          <w:spacing w:val="-10"/>
          <w:kern w:val="0"/>
          <w:szCs w:val="32"/>
        </w:rPr>
        <w:t xml:space="preserve"> 本规定适用于全校在读</w:t>
      </w:r>
      <w:r>
        <w:rPr>
          <w:rFonts w:hint="eastAsia" w:ascii="仿宋_GB2312" w:hAnsi="仿宋" w:cs="宋体"/>
          <w:kern w:val="0"/>
          <w:szCs w:val="32"/>
        </w:rPr>
        <w:t>专业学位研究生。</w:t>
      </w:r>
    </w:p>
    <w:p w14:paraId="5D51F243">
      <w:pPr>
        <w:autoSpaceDE w:val="0"/>
        <w:autoSpaceDN w:val="0"/>
        <w:snapToGrid w:val="0"/>
        <w:spacing w:line="560" w:lineRule="exact"/>
        <w:ind w:firstLine="3021" w:firstLineChars="950"/>
        <w:rPr>
          <w:rFonts w:hint="eastAsia" w:ascii="仿宋_GB2312" w:hAnsi="仿宋" w:cs="宋体"/>
          <w:b/>
          <w:kern w:val="0"/>
          <w:szCs w:val="32"/>
        </w:rPr>
      </w:pPr>
      <w:r>
        <w:rPr>
          <w:rFonts w:hint="eastAsia" w:ascii="仿宋_GB2312" w:hAnsi="仿宋" w:cs="宋体"/>
          <w:b/>
          <w:kern w:val="0"/>
          <w:szCs w:val="32"/>
        </w:rPr>
        <w:t>第二章 基本要求</w:t>
      </w:r>
    </w:p>
    <w:p w14:paraId="538F15D8">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kern w:val="0"/>
          <w:szCs w:val="32"/>
        </w:rPr>
        <w:t xml:space="preserve">第三条 </w:t>
      </w:r>
      <w:r>
        <w:rPr>
          <w:rFonts w:hint="eastAsia" w:ascii="仿宋_GB2312" w:hAnsi="仿宋" w:cs="宋体"/>
          <w:kern w:val="0"/>
          <w:szCs w:val="32"/>
        </w:rPr>
        <w:t>专业实践是专业学位研究生重要的培养环节，充分的、高质量的专业实践是专业学位教育质量的重要保证。专业学位研究生在学期间，必须参加由学校认可的实践活动，提高实践能力，为学位论文的选题和完成创造条件。</w:t>
      </w:r>
    </w:p>
    <w:p w14:paraId="0D18AC7D">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kern w:val="0"/>
          <w:szCs w:val="32"/>
        </w:rPr>
        <w:t xml:space="preserve">第四条 </w:t>
      </w:r>
      <w:r>
        <w:rPr>
          <w:rFonts w:hint="eastAsia" w:ascii="仿宋_GB2312" w:hAnsi="仿宋" w:cs="宋体"/>
          <w:kern w:val="0"/>
          <w:szCs w:val="32"/>
        </w:rPr>
        <w:t>专业实践原则上安排在研究生完成课程学习之后，专业实践考核通过后，方可取得专业实践学分，进入学位论文答辩环节。专业实践一般应与学位论文研究工作相结合。</w:t>
      </w:r>
    </w:p>
    <w:p w14:paraId="4B5E72E3">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kern w:val="0"/>
          <w:szCs w:val="32"/>
        </w:rPr>
        <w:t>第五条</w:t>
      </w:r>
      <w:r>
        <w:rPr>
          <w:rFonts w:hint="eastAsia" w:ascii="仿宋_GB2312" w:hAnsi="仿宋" w:cs="宋体"/>
          <w:kern w:val="0"/>
          <w:szCs w:val="32"/>
        </w:rPr>
        <w:t xml:space="preserve"> 各学院应根据有关专业学位教育指导委员会的要求设置相应学分。</w:t>
      </w:r>
    </w:p>
    <w:p w14:paraId="79668A9A">
      <w:pPr>
        <w:autoSpaceDE w:val="0"/>
        <w:autoSpaceDN w:val="0"/>
        <w:snapToGrid w:val="0"/>
        <w:spacing w:line="560" w:lineRule="exact"/>
        <w:ind w:right="-1" w:firstLine="620" w:firstLineChars="196"/>
        <w:rPr>
          <w:rFonts w:hint="eastAsia" w:ascii="仿宋_GB2312" w:hAnsi="仿宋" w:cs="宋体"/>
          <w:spacing w:val="-1"/>
          <w:kern w:val="0"/>
          <w:szCs w:val="32"/>
        </w:rPr>
      </w:pPr>
      <w:r>
        <w:rPr>
          <w:rFonts w:hint="eastAsia" w:ascii="仿宋_GB2312" w:hAnsi="仿宋" w:cs="宋体"/>
          <w:b/>
          <w:spacing w:val="-1"/>
          <w:kern w:val="0"/>
          <w:szCs w:val="32"/>
        </w:rPr>
        <w:t xml:space="preserve">第六条 </w:t>
      </w:r>
      <w:r>
        <w:rPr>
          <w:rFonts w:hint="eastAsia" w:ascii="仿宋_GB2312" w:hAnsi="仿宋" w:cs="宋体"/>
          <w:spacing w:val="-1"/>
          <w:kern w:val="0"/>
          <w:szCs w:val="32"/>
        </w:rPr>
        <w:t>专业实践的具体时间要求和形式须符合国家相应专业学位</w:t>
      </w:r>
      <w:r>
        <w:rPr>
          <w:rFonts w:hint="eastAsia" w:ascii="仿宋_GB2312" w:hAnsi="仿宋" w:cs="宋体"/>
          <w:kern w:val="0"/>
          <w:szCs w:val="32"/>
        </w:rPr>
        <w:t>教育指导委员会</w:t>
      </w:r>
      <w:r>
        <w:rPr>
          <w:rFonts w:hint="eastAsia" w:ascii="仿宋_GB2312" w:hAnsi="仿宋" w:cs="宋体"/>
          <w:spacing w:val="-1"/>
          <w:kern w:val="0"/>
          <w:szCs w:val="32"/>
        </w:rPr>
        <w:t>有关规定的要求。</w:t>
      </w:r>
    </w:p>
    <w:p w14:paraId="2D03DCAA">
      <w:pPr>
        <w:autoSpaceDE w:val="0"/>
        <w:autoSpaceDN w:val="0"/>
        <w:snapToGrid w:val="0"/>
        <w:spacing w:line="560" w:lineRule="exact"/>
        <w:ind w:right="-1" w:firstLine="620" w:firstLineChars="196"/>
        <w:rPr>
          <w:rFonts w:hint="eastAsia" w:ascii="仿宋_GB2312" w:hAnsi="仿宋" w:cs="宋体"/>
          <w:kern w:val="0"/>
          <w:szCs w:val="32"/>
        </w:rPr>
      </w:pPr>
      <w:r>
        <w:rPr>
          <w:rFonts w:hint="eastAsia" w:ascii="仿宋_GB2312" w:hAnsi="仿宋" w:cs="宋体"/>
          <w:b/>
          <w:spacing w:val="-1"/>
          <w:kern w:val="0"/>
          <w:szCs w:val="32"/>
        </w:rPr>
        <w:t>第七条</w:t>
      </w:r>
      <w:r>
        <w:rPr>
          <w:rFonts w:hint="eastAsia" w:ascii="仿宋_GB2312" w:hAnsi="仿宋" w:cs="宋体"/>
          <w:spacing w:val="-1"/>
          <w:kern w:val="0"/>
          <w:szCs w:val="32"/>
        </w:rPr>
        <w:t xml:space="preserve"> 专业实践按照“集中实践与分段实践”相结合、“校内实践与校外实践”相结合</w:t>
      </w:r>
      <w:r>
        <w:rPr>
          <w:rFonts w:hint="eastAsia" w:ascii="仿宋_GB2312" w:hAnsi="仿宋" w:cs="宋体"/>
          <w:spacing w:val="-2"/>
          <w:kern w:val="0"/>
          <w:szCs w:val="32"/>
        </w:rPr>
        <w:t>、“专业实践与学位</w:t>
      </w:r>
      <w:r>
        <w:rPr>
          <w:rFonts w:hint="eastAsia" w:ascii="仿宋_GB2312" w:hAnsi="仿宋" w:cs="宋体"/>
          <w:spacing w:val="-1"/>
          <w:kern w:val="0"/>
          <w:szCs w:val="32"/>
        </w:rPr>
        <w:t>论文工作”相结合的方式开展。专业实践一般依托实践基地和合作单位提供的研究项目或实践岗位进行，</w:t>
      </w:r>
      <w:r>
        <w:rPr>
          <w:rFonts w:hint="eastAsia" w:ascii="仿宋_GB2312" w:hAnsi="仿宋" w:cs="宋体"/>
          <w:kern w:val="0"/>
          <w:szCs w:val="32"/>
        </w:rPr>
        <w:t>定向培养的研究生可依托定向培养单位进行实践。</w:t>
      </w:r>
    </w:p>
    <w:p w14:paraId="6B55A42C">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kern w:val="0"/>
          <w:szCs w:val="32"/>
        </w:rPr>
        <w:t xml:space="preserve">第八条 </w:t>
      </w:r>
      <w:r>
        <w:rPr>
          <w:rFonts w:hint="eastAsia" w:ascii="仿宋_GB2312" w:hAnsi="仿宋" w:cs="宋体"/>
          <w:kern w:val="0"/>
          <w:szCs w:val="32"/>
        </w:rPr>
        <w:t>进行校外实践的专业学位研究生进入校外有关单位进行实践之前，学院须与其签订联合培养基地协议，明确双方的职责和义务，以及研究生联合培养期间的安全和有关知识产权问题，并明确告知研究生。</w:t>
      </w:r>
    </w:p>
    <w:p w14:paraId="25A50BD1">
      <w:pPr>
        <w:autoSpaceDE w:val="0"/>
        <w:autoSpaceDN w:val="0"/>
        <w:snapToGrid w:val="0"/>
        <w:spacing w:line="560" w:lineRule="exact"/>
        <w:ind w:right="-1" w:firstLine="567"/>
        <w:rPr>
          <w:rFonts w:hint="eastAsia" w:ascii="仿宋_GB2312" w:hAnsi="仿宋" w:cs="宋体"/>
          <w:spacing w:val="-12"/>
          <w:w w:val="99"/>
          <w:kern w:val="0"/>
          <w:szCs w:val="32"/>
        </w:rPr>
      </w:pPr>
      <w:r>
        <w:rPr>
          <w:rFonts w:hint="eastAsia" w:ascii="仿宋_GB2312" w:hAnsi="仿宋" w:cs="宋体"/>
          <w:b/>
          <w:w w:val="99"/>
          <w:kern w:val="0"/>
          <w:szCs w:val="32"/>
        </w:rPr>
        <w:t xml:space="preserve">第九条 </w:t>
      </w:r>
      <w:r>
        <w:rPr>
          <w:rFonts w:hint="eastAsia" w:ascii="仿宋_GB2312" w:hAnsi="仿宋" w:cs="宋体"/>
          <w:w w:val="99"/>
          <w:kern w:val="0"/>
          <w:szCs w:val="32"/>
        </w:rPr>
        <w:t>专业实践指导</w:t>
      </w:r>
      <w:r>
        <w:rPr>
          <w:rFonts w:hint="eastAsia" w:ascii="仿宋_GB2312" w:hAnsi="仿宋" w:cs="宋体"/>
          <w:spacing w:val="-12"/>
          <w:w w:val="99"/>
          <w:kern w:val="0"/>
          <w:szCs w:val="32"/>
        </w:rPr>
        <w:t>实行校内导师与行业产业导师“双导师制”，校内导</w:t>
      </w:r>
      <w:r>
        <w:rPr>
          <w:rFonts w:hint="eastAsia" w:ascii="仿宋_GB2312" w:hAnsi="仿宋" w:cs="宋体"/>
          <w:spacing w:val="-2"/>
          <w:kern w:val="0"/>
          <w:szCs w:val="32"/>
        </w:rPr>
        <w:t>师与行业产业导师共同制定个性化的专业实践计划。校内导师要</w:t>
      </w:r>
      <w:r>
        <w:rPr>
          <w:rFonts w:hint="eastAsia" w:ascii="仿宋_GB2312" w:hAnsi="仿宋" w:cs="宋体"/>
          <w:spacing w:val="-4"/>
          <w:kern w:val="0"/>
          <w:szCs w:val="32"/>
        </w:rPr>
        <w:t>关注研究生专业实践期间工作、生活、思想、心理等方面动</w:t>
      </w:r>
      <w:r>
        <w:rPr>
          <w:rFonts w:hint="eastAsia" w:ascii="仿宋_GB2312" w:hAnsi="仿宋" w:cs="宋体"/>
          <w:spacing w:val="-5"/>
          <w:kern w:val="0"/>
          <w:szCs w:val="32"/>
        </w:rPr>
        <w:t>态，关心支持研究生顺利完成实践环节。行业产业导师一般来自</w:t>
      </w:r>
      <w:r>
        <w:rPr>
          <w:rFonts w:hint="eastAsia" w:ascii="仿宋_GB2312" w:hAnsi="仿宋" w:cs="宋体"/>
          <w:spacing w:val="-2"/>
          <w:kern w:val="0"/>
          <w:szCs w:val="32"/>
        </w:rPr>
        <w:t>实践基地或合作单位，负责属地教育管理工作，指导研究生开展专业实践活动。</w:t>
      </w:r>
      <w:r>
        <w:rPr>
          <w:rFonts w:hint="eastAsia" w:ascii="仿宋_GB2312" w:hAnsi="仿宋" w:cs="宋体"/>
          <w:w w:val="99"/>
          <w:kern w:val="0"/>
          <w:szCs w:val="32"/>
        </w:rPr>
        <w:t>学校按照相关文件开展行业产业导师的选聘和管理。</w:t>
      </w:r>
    </w:p>
    <w:p w14:paraId="70732E02">
      <w:pPr>
        <w:autoSpaceDE w:val="0"/>
        <w:autoSpaceDN w:val="0"/>
        <w:snapToGrid w:val="0"/>
        <w:spacing w:line="560" w:lineRule="exact"/>
        <w:ind w:firstLine="3021" w:firstLineChars="950"/>
        <w:rPr>
          <w:rFonts w:hint="eastAsia" w:ascii="仿宋_GB2312" w:hAnsi="仿宋" w:cs="宋体"/>
          <w:b/>
          <w:kern w:val="0"/>
          <w:szCs w:val="32"/>
        </w:rPr>
      </w:pPr>
      <w:r>
        <w:rPr>
          <w:rFonts w:hint="eastAsia" w:ascii="仿宋_GB2312" w:hAnsi="仿宋" w:cs="宋体"/>
          <w:b/>
          <w:kern w:val="0"/>
          <w:szCs w:val="32"/>
        </w:rPr>
        <w:t>第三章 组织管理</w:t>
      </w:r>
    </w:p>
    <w:p w14:paraId="72E21D68">
      <w:pPr>
        <w:autoSpaceDE w:val="0"/>
        <w:autoSpaceDN w:val="0"/>
        <w:snapToGrid w:val="0"/>
        <w:spacing w:line="560" w:lineRule="exact"/>
        <w:ind w:right="-1" w:firstLine="567"/>
        <w:rPr>
          <w:rFonts w:hint="eastAsia" w:ascii="仿宋_GB2312" w:hAnsi="仿宋" w:cs="宋体"/>
          <w:spacing w:val="-1"/>
          <w:kern w:val="0"/>
          <w:szCs w:val="32"/>
        </w:rPr>
      </w:pPr>
      <w:r>
        <w:rPr>
          <w:rFonts w:hint="eastAsia" w:ascii="仿宋_GB2312" w:hAnsi="仿宋" w:cs="宋体"/>
          <w:b/>
          <w:spacing w:val="-1"/>
          <w:kern w:val="0"/>
          <w:szCs w:val="32"/>
        </w:rPr>
        <w:t xml:space="preserve">第十条 </w:t>
      </w:r>
      <w:r>
        <w:rPr>
          <w:rFonts w:hint="eastAsia" w:ascii="仿宋_GB2312" w:hAnsi="仿宋" w:cs="宋体"/>
          <w:spacing w:val="-1"/>
          <w:kern w:val="0"/>
          <w:szCs w:val="32"/>
        </w:rPr>
        <w:t>研究生院统筹全校专业学位研究生的专业实践管理工作。各学院须成立专业学位研究生专业实践工作小组，分管院长、书记共同担任组长，全面指导开展专业实践各项工作（含党建与思政工作），编制联合培养基地建设规划，并指定专人负责研究生实践环节的具体落实和实施。</w:t>
      </w:r>
    </w:p>
    <w:p w14:paraId="45760153">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kern w:val="0"/>
          <w:szCs w:val="32"/>
        </w:rPr>
        <w:t>第十一条</w:t>
      </w:r>
      <w:r>
        <w:rPr>
          <w:rFonts w:hint="eastAsia" w:ascii="仿宋_GB2312" w:hAnsi="仿宋" w:cs="宋体"/>
          <w:kern w:val="0"/>
          <w:szCs w:val="32"/>
        </w:rPr>
        <w:t xml:space="preserve"> 各学院应结合所属专业学位类别/领域特点，制订本学院专业实践管理细则，对专业实践项目、内容、组织、管理和考核等问题作出规定。加强专业实践的安全管理工作，明确职责分工，落实责任主体，保障研究生在专业实践过程中的人身安全与健康。</w:t>
      </w:r>
    </w:p>
    <w:p w14:paraId="41AC469D">
      <w:pPr>
        <w:autoSpaceDE w:val="0"/>
        <w:autoSpaceDN w:val="0"/>
        <w:snapToGrid w:val="0"/>
        <w:spacing w:line="560" w:lineRule="exact"/>
        <w:ind w:right="-1" w:firstLine="567"/>
        <w:rPr>
          <w:rFonts w:hint="eastAsia" w:ascii="仿宋_GB2312" w:hAnsi="仿宋" w:cs="宋体"/>
          <w:w w:val="99"/>
          <w:kern w:val="0"/>
          <w:szCs w:val="32"/>
        </w:rPr>
      </w:pPr>
      <w:r>
        <w:rPr>
          <w:rFonts w:hint="eastAsia" w:ascii="仿宋_GB2312" w:hAnsi="仿宋" w:cs="宋体"/>
          <w:b/>
          <w:w w:val="99"/>
          <w:kern w:val="0"/>
          <w:szCs w:val="32"/>
        </w:rPr>
        <w:t xml:space="preserve">第十二条 </w:t>
      </w:r>
      <w:r>
        <w:rPr>
          <w:rFonts w:hint="eastAsia" w:ascii="仿宋_GB2312" w:hAnsi="仿宋" w:cs="宋体"/>
          <w:w w:val="99"/>
          <w:kern w:val="0"/>
          <w:szCs w:val="32"/>
        </w:rPr>
        <w:t>专业学位研究生开始实践前，应在双方导师的指导下填写《浙江工业大学研究生专业实践计划》，经学院审核通过后方可进行专业实践，否则视为未经学校认可；《浙江工业大学研究生专业实践计划》由学院存档。</w:t>
      </w:r>
    </w:p>
    <w:p w14:paraId="48A58B90">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w w:val="99"/>
          <w:kern w:val="0"/>
          <w:szCs w:val="32"/>
        </w:rPr>
        <w:t xml:space="preserve">第十三条 </w:t>
      </w:r>
      <w:r>
        <w:rPr>
          <w:rFonts w:hint="eastAsia" w:ascii="仿宋_GB2312" w:hAnsi="仿宋" w:cs="宋体"/>
          <w:kern w:val="0"/>
          <w:szCs w:val="32"/>
        </w:rPr>
        <w:t>各学院要加强研究生专业实践期间的跟踪管理（含党建与思政教育），了解和掌握研究生的实践情况和思想动态，以便及时发现和解决问题。在同一基地（单位）或相近区域进行专业实践的研究生如达到一定的规模，要因地制宜建立临时党团班组织，常态化开展相关教育和活动。</w:t>
      </w:r>
    </w:p>
    <w:p w14:paraId="52BCDE61">
      <w:pPr>
        <w:autoSpaceDE w:val="0"/>
        <w:autoSpaceDN w:val="0"/>
        <w:snapToGrid w:val="0"/>
        <w:spacing w:line="560" w:lineRule="exact"/>
        <w:ind w:firstLine="3021" w:firstLineChars="950"/>
        <w:rPr>
          <w:rFonts w:hint="eastAsia" w:ascii="仿宋_GB2312" w:hAnsi="仿宋" w:cs="宋体"/>
          <w:b/>
          <w:kern w:val="0"/>
          <w:szCs w:val="32"/>
        </w:rPr>
      </w:pPr>
      <w:r>
        <w:rPr>
          <w:rFonts w:hint="eastAsia" w:ascii="仿宋_GB2312" w:hAnsi="仿宋" w:cs="宋体"/>
          <w:b/>
          <w:kern w:val="0"/>
          <w:szCs w:val="32"/>
        </w:rPr>
        <w:t>第四章 考核管理</w:t>
      </w:r>
    </w:p>
    <w:p w14:paraId="0F6B9F33">
      <w:pPr>
        <w:autoSpaceDE w:val="0"/>
        <w:autoSpaceDN w:val="0"/>
        <w:snapToGrid w:val="0"/>
        <w:spacing w:line="560" w:lineRule="exact"/>
        <w:ind w:right="-1" w:firstLine="567"/>
        <w:rPr>
          <w:rFonts w:hint="eastAsia" w:ascii="仿宋_GB2312" w:hAnsi="仿宋" w:cs="宋体"/>
          <w:w w:val="99"/>
          <w:kern w:val="0"/>
          <w:szCs w:val="32"/>
        </w:rPr>
      </w:pPr>
      <w:r>
        <w:rPr>
          <w:rFonts w:hint="eastAsia" w:ascii="仿宋_GB2312" w:hAnsi="仿宋" w:cs="宋体"/>
          <w:b/>
          <w:w w:val="99"/>
          <w:kern w:val="0"/>
          <w:szCs w:val="32"/>
        </w:rPr>
        <w:t>第十四条</w:t>
      </w:r>
      <w:r>
        <w:rPr>
          <w:rFonts w:hint="eastAsia" w:ascii="仿宋_GB2312" w:hAnsi="仿宋" w:cs="宋体"/>
          <w:w w:val="99"/>
          <w:kern w:val="0"/>
          <w:szCs w:val="32"/>
        </w:rPr>
        <w:t xml:space="preserve"> 研究生在专业实践期间应严格遵守学校、实践基地、合作单位的规章制度，服从导师组安排。做好专业实践有关工作笔记，定期向导师组汇报工作进展和思想情况等。</w:t>
      </w:r>
    </w:p>
    <w:p w14:paraId="5A1AAE25">
      <w:pPr>
        <w:autoSpaceDE w:val="0"/>
        <w:autoSpaceDN w:val="0"/>
        <w:snapToGrid w:val="0"/>
        <w:spacing w:line="560" w:lineRule="exact"/>
        <w:ind w:right="-1" w:firstLine="567"/>
        <w:rPr>
          <w:rFonts w:hint="eastAsia" w:ascii="仿宋_GB2312" w:hAnsi="仿宋" w:cs="宋体"/>
          <w:w w:val="99"/>
          <w:kern w:val="0"/>
          <w:szCs w:val="32"/>
        </w:rPr>
      </w:pPr>
      <w:r>
        <w:rPr>
          <w:rFonts w:hint="eastAsia" w:ascii="仿宋_GB2312" w:hAnsi="仿宋" w:cs="宋体"/>
          <w:b/>
          <w:w w:val="99"/>
          <w:kern w:val="0"/>
          <w:szCs w:val="32"/>
        </w:rPr>
        <w:t>第十五条</w:t>
      </w:r>
      <w:r>
        <w:rPr>
          <w:rFonts w:hint="eastAsia" w:ascii="仿宋_GB2312" w:hAnsi="仿宋" w:cs="宋体"/>
          <w:w w:val="99"/>
          <w:kern w:val="0"/>
          <w:szCs w:val="32"/>
        </w:rPr>
        <w:t xml:space="preserve"> 研究生应在专业实践结束三周内，填写《浙江工业大学研究生专业实践考核表》，连同《浙江工业大学研究生专业实践报告》一并交由指导教师（组）审核。各学院成立研究生实践环节考核小组，通过集中答辩等形式，对实践过程及取得的实践成果做出综合评价。相关纸质材料由学院存档。</w:t>
      </w:r>
    </w:p>
    <w:p w14:paraId="79065498">
      <w:pPr>
        <w:autoSpaceDE w:val="0"/>
        <w:autoSpaceDN w:val="0"/>
        <w:snapToGrid w:val="0"/>
        <w:spacing w:line="560" w:lineRule="exact"/>
        <w:ind w:right="-1" w:firstLine="567"/>
        <w:rPr>
          <w:rFonts w:hint="eastAsia" w:ascii="仿宋_GB2312" w:hAnsi="仿宋" w:cs="宋体"/>
          <w:w w:val="99"/>
          <w:kern w:val="0"/>
          <w:szCs w:val="32"/>
        </w:rPr>
      </w:pPr>
      <w:r>
        <w:rPr>
          <w:rFonts w:hint="eastAsia" w:ascii="仿宋_GB2312" w:hAnsi="仿宋" w:cs="宋体"/>
          <w:b/>
          <w:w w:val="99"/>
          <w:kern w:val="0"/>
          <w:szCs w:val="32"/>
        </w:rPr>
        <w:t>第十六条</w:t>
      </w:r>
      <w:r>
        <w:rPr>
          <w:rFonts w:hint="eastAsia" w:ascii="仿宋_GB2312" w:hAnsi="仿宋" w:cs="宋体"/>
          <w:w w:val="99"/>
          <w:kern w:val="0"/>
          <w:szCs w:val="32"/>
        </w:rPr>
        <w:t xml:space="preserve"> 研究生在专业实践期间有以下情形之一的， 考核等级为“不合格”：</w:t>
      </w:r>
    </w:p>
    <w:p w14:paraId="5303A373">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kern w:val="0"/>
          <w:szCs w:val="32"/>
        </w:rPr>
        <w:t>（一）违反科研诚信和学术道德；</w:t>
      </w:r>
    </w:p>
    <w:p w14:paraId="521C5F3C">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kern w:val="0"/>
          <w:szCs w:val="32"/>
        </w:rPr>
        <w:t>（二）专业实践不认真，未完成专业实践活动；</w:t>
      </w:r>
    </w:p>
    <w:p w14:paraId="17BC9398">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kern w:val="0"/>
          <w:szCs w:val="32"/>
        </w:rPr>
        <w:t>（三）违反学校、实践基地或其他实践单位的有关规章制度，造成严重不良后果；</w:t>
      </w:r>
    </w:p>
    <w:p w14:paraId="67BD927D">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kern w:val="0"/>
          <w:szCs w:val="32"/>
        </w:rPr>
        <w:t>（四）其他违法违纪行为等。</w:t>
      </w:r>
    </w:p>
    <w:p w14:paraId="3D4E45ED">
      <w:pPr>
        <w:autoSpaceDE w:val="0"/>
        <w:autoSpaceDN w:val="0"/>
        <w:snapToGrid w:val="0"/>
        <w:spacing w:line="560" w:lineRule="exact"/>
        <w:ind w:firstLine="3021" w:firstLineChars="950"/>
        <w:rPr>
          <w:rFonts w:hint="eastAsia" w:ascii="仿宋_GB2312" w:hAnsi="仿宋" w:cs="宋体"/>
          <w:b/>
          <w:kern w:val="0"/>
          <w:szCs w:val="32"/>
        </w:rPr>
      </w:pPr>
      <w:r>
        <w:rPr>
          <w:rFonts w:hint="eastAsia" w:ascii="仿宋_GB2312" w:hAnsi="仿宋" w:cs="宋体"/>
          <w:b/>
          <w:kern w:val="0"/>
          <w:szCs w:val="32"/>
        </w:rPr>
        <w:t>第五章  经费保障</w:t>
      </w:r>
    </w:p>
    <w:p w14:paraId="77F1E7E4">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spacing w:val="-10"/>
          <w:kern w:val="0"/>
          <w:szCs w:val="32"/>
        </w:rPr>
        <w:t>第十七条</w:t>
      </w:r>
      <w:r>
        <w:rPr>
          <w:rFonts w:hint="eastAsia" w:ascii="仿宋_GB2312" w:hAnsi="仿宋" w:cs="宋体"/>
          <w:spacing w:val="-10"/>
          <w:kern w:val="0"/>
          <w:szCs w:val="32"/>
        </w:rPr>
        <w:t xml:space="preserve">  研究生专业实践经费可从学院研究生培养经费和相关研究生实践基地、联合培养基地等建设经费中列支。专业实践经费主要用于校外导师指导费、资料费等，须严格按照财务管理规定使用，不得超标准超范围开支。</w:t>
      </w:r>
    </w:p>
    <w:p w14:paraId="67792107">
      <w:pPr>
        <w:autoSpaceDE w:val="0"/>
        <w:autoSpaceDN w:val="0"/>
        <w:snapToGrid w:val="0"/>
        <w:spacing w:line="560" w:lineRule="exact"/>
        <w:ind w:right="-1" w:firstLine="567"/>
        <w:rPr>
          <w:rFonts w:hint="eastAsia" w:ascii="仿宋_GB2312" w:hAnsi="宋体" w:cs="宋体"/>
          <w:kern w:val="0"/>
          <w:szCs w:val="32"/>
        </w:rPr>
      </w:pPr>
      <w:r>
        <w:rPr>
          <w:rFonts w:hint="eastAsia" w:ascii="仿宋_GB2312" w:hAnsi="仿宋" w:cs="宋体"/>
          <w:b/>
          <w:kern w:val="0"/>
          <w:szCs w:val="32"/>
        </w:rPr>
        <w:t>第十八条</w:t>
      </w:r>
      <w:r>
        <w:rPr>
          <w:rFonts w:hint="eastAsia" w:ascii="仿宋_GB2312" w:hAnsi="仿宋" w:cs="宋体"/>
          <w:kern w:val="0"/>
          <w:szCs w:val="32"/>
        </w:rPr>
        <w:t xml:space="preserve"> 研究生在校外实践期间的食宿安排、科研津贴、差旅费用等，按照具体签订的协议执行。</w:t>
      </w:r>
    </w:p>
    <w:p w14:paraId="26148E27">
      <w:pPr>
        <w:autoSpaceDE w:val="0"/>
        <w:autoSpaceDN w:val="0"/>
        <w:snapToGrid w:val="0"/>
        <w:spacing w:line="560" w:lineRule="exact"/>
        <w:ind w:firstLine="3021" w:firstLineChars="950"/>
        <w:rPr>
          <w:rFonts w:hint="eastAsia" w:ascii="仿宋_GB2312" w:hAnsi="仿宋" w:cs="宋体"/>
          <w:b/>
          <w:kern w:val="0"/>
          <w:szCs w:val="32"/>
        </w:rPr>
      </w:pPr>
      <w:r>
        <w:rPr>
          <w:rFonts w:hint="eastAsia" w:ascii="仿宋_GB2312" w:hAnsi="仿宋" w:cs="宋体"/>
          <w:b/>
          <w:kern w:val="0"/>
          <w:szCs w:val="32"/>
        </w:rPr>
        <w:t>第六章  附则</w:t>
      </w:r>
    </w:p>
    <w:p w14:paraId="7C85A8AE">
      <w:pPr>
        <w:autoSpaceDE w:val="0"/>
        <w:autoSpaceDN w:val="0"/>
        <w:snapToGrid w:val="0"/>
        <w:spacing w:line="560" w:lineRule="exact"/>
        <w:ind w:right="-1" w:firstLine="567"/>
        <w:rPr>
          <w:rFonts w:hint="eastAsia" w:ascii="仿宋_GB2312" w:hAnsi="仿宋" w:cs="宋体"/>
          <w:kern w:val="0"/>
          <w:szCs w:val="32"/>
        </w:rPr>
      </w:pPr>
      <w:r>
        <w:rPr>
          <w:rFonts w:hint="eastAsia" w:ascii="仿宋_GB2312" w:hAnsi="仿宋" w:cs="宋体"/>
          <w:b/>
          <w:spacing w:val="-10"/>
          <w:kern w:val="0"/>
          <w:szCs w:val="32"/>
        </w:rPr>
        <w:t>第十九条</w:t>
      </w:r>
      <w:r>
        <w:rPr>
          <w:rFonts w:hint="eastAsia" w:ascii="仿宋_GB2312" w:hAnsi="仿宋" w:cs="宋体"/>
          <w:spacing w:val="-10"/>
          <w:kern w:val="0"/>
          <w:szCs w:val="32"/>
        </w:rPr>
        <w:t xml:space="preserve">  如遇国家相关政策调整，使得本办法与上级文件不符时，按上级文件执行。</w:t>
      </w:r>
    </w:p>
    <w:p w14:paraId="190E3EDB">
      <w:pPr>
        <w:snapToGrid w:val="0"/>
        <w:spacing w:line="560" w:lineRule="exact"/>
        <w:ind w:right="-28" w:rightChars="-9" w:firstLine="596" w:firstLineChars="200"/>
        <w:jc w:val="left"/>
        <w:rPr>
          <w:rFonts w:hint="eastAsia" w:ascii="仿宋_GB2312" w:hAnsi="仿宋" w:cs="宋体"/>
          <w:spacing w:val="-10"/>
          <w:kern w:val="0"/>
          <w:szCs w:val="32"/>
        </w:rPr>
      </w:pPr>
      <w:r>
        <w:rPr>
          <w:rFonts w:hint="eastAsia" w:ascii="仿宋_GB2312" w:hAnsi="仿宋" w:cs="宋体"/>
          <w:b/>
          <w:bCs/>
          <w:spacing w:val="-10"/>
          <w:kern w:val="0"/>
          <w:szCs w:val="32"/>
        </w:rPr>
        <w:t>第二十条</w:t>
      </w:r>
      <w:r>
        <w:rPr>
          <w:rFonts w:hint="eastAsia" w:ascii="仿宋_GB2312" w:hAnsi="仿宋" w:cs="宋体"/>
          <w:spacing w:val="-10"/>
          <w:kern w:val="0"/>
          <w:szCs w:val="32"/>
        </w:rPr>
        <w:t xml:space="preserve"> 本办法自 2021级专业学位研究生开始执行，由研究生院（学科建设处）负责解释。</w:t>
      </w:r>
    </w:p>
    <w:p w14:paraId="435E01A6">
      <w:pPr>
        <w:jc w:val="left"/>
        <w:rPr>
          <w:rFonts w:hint="eastAsia" w:ascii="仿宋_GB2312"/>
        </w:rPr>
      </w:pPr>
    </w:p>
    <w:p w14:paraId="20BF1AEF">
      <w:pPr>
        <w:rPr>
          <w:rFonts w:hint="eastAsia"/>
        </w:rPr>
      </w:pPr>
    </w:p>
    <w:p w14:paraId="714238B2">
      <w:pPr>
        <w:jc w:val="center"/>
        <w:rPr>
          <w:rFonts w:ascii="宋体"/>
          <w:szCs w:val="32"/>
        </w:rPr>
      </w:pPr>
    </w:p>
    <w:p w14:paraId="5B9812B3">
      <w:pPr>
        <w:rPr>
          <w:rFonts w:ascii="宋体"/>
          <w:szCs w:val="32"/>
        </w:rPr>
      </w:pPr>
    </w:p>
    <w:p w14:paraId="057AE04B">
      <w:pPr>
        <w:rPr>
          <w:rFonts w:ascii="仿宋_GB2312"/>
          <w:szCs w:val="32"/>
        </w:rPr>
      </w:pPr>
    </w:p>
    <w:p w14:paraId="63898B93">
      <w:pPr>
        <w:rPr>
          <w:rFonts w:ascii="仿宋_GB2312"/>
          <w:szCs w:val="32"/>
        </w:rPr>
      </w:pPr>
    </w:p>
    <w:p w14:paraId="0185D491">
      <w:pPr>
        <w:rPr>
          <w:rFonts w:ascii="仿宋_GB2312"/>
        </w:rPr>
      </w:pPr>
    </w:p>
    <w:p w14:paraId="1CFF0742">
      <w:pPr>
        <w:ind w:left="636" w:leftChars="200" w:firstLine="1272" w:firstLineChars="400"/>
        <w:rPr>
          <w:rFonts w:hint="eastAsia" w:ascii="仿宋_GB2312"/>
          <w:szCs w:val="32"/>
        </w:rPr>
      </w:pPr>
      <w:bookmarkStart w:id="6" w:name="附件"/>
      <w:r>
        <w:rPr>
          <w:rFonts w:hint="eastAsia" w:ascii="仿宋_GB2312"/>
          <w:szCs w:val="32"/>
        </w:rPr>
        <w:fldChar w:fldCharType="begin">
          <w:ffData>
            <w:name w:val="附件"/>
            <w:enabled/>
            <w:calcOnExit w:val="0"/>
            <w:textInput>
              <w:maxLength w:val="200"/>
            </w:textInput>
          </w:ffData>
        </w:fldChar>
      </w:r>
      <w:r>
        <w:rPr>
          <w:rFonts w:hint="eastAsia" w:ascii="仿宋_GB2312"/>
          <w:szCs w:val="32"/>
        </w:rPr>
        <w:instrText xml:space="preserve"> FORMTEXT </w:instrText>
      </w:r>
      <w:r>
        <w:rPr>
          <w:rFonts w:hint="eastAsia" w:ascii="仿宋_GB2312"/>
          <w:szCs w:val="32"/>
        </w:rPr>
        <w:fldChar w:fldCharType="separate"/>
      </w:r>
      <w:r>
        <w:rPr>
          <w:rFonts w:hint="eastAsia" w:ascii="仿宋_GB2312"/>
          <w:szCs w:val="32"/>
          <w:lang/>
        </w:rPr>
        <w:t> </w:t>
      </w:r>
      <w:r>
        <w:rPr>
          <w:rFonts w:hint="eastAsia" w:ascii="仿宋_GB2312"/>
          <w:szCs w:val="32"/>
          <w:lang/>
        </w:rPr>
        <w:t> </w:t>
      </w:r>
      <w:r>
        <w:rPr>
          <w:rFonts w:hint="eastAsia" w:ascii="仿宋_GB2312"/>
          <w:szCs w:val="32"/>
          <w:lang/>
        </w:rPr>
        <w:t> </w:t>
      </w:r>
      <w:r>
        <w:rPr>
          <w:rFonts w:hint="eastAsia" w:ascii="仿宋_GB2312"/>
          <w:szCs w:val="32"/>
          <w:lang/>
        </w:rPr>
        <w:t> </w:t>
      </w:r>
      <w:r>
        <w:rPr>
          <w:rFonts w:hint="eastAsia" w:ascii="仿宋_GB2312"/>
          <w:szCs w:val="32"/>
          <w:lang/>
        </w:rPr>
        <w:t> </w:t>
      </w:r>
      <w:r>
        <w:rPr>
          <w:rFonts w:hint="eastAsia" w:ascii="仿宋_GB2312"/>
          <w:szCs w:val="32"/>
        </w:rPr>
        <w:fldChar w:fldCharType="end"/>
      </w:r>
      <w:bookmarkEnd w:id="6"/>
    </w:p>
    <w:p w14:paraId="2DE433A9">
      <w:pPr>
        <w:pStyle w:val="4"/>
        <w:snapToGrid/>
        <w:jc w:val="center"/>
        <w:rPr>
          <w:rFonts w:hint="eastAsia" w:ascii="仿宋_GB2312"/>
          <w:szCs w:val="32"/>
        </w:rPr>
      </w:pPr>
      <w:r>
        <w:rPr>
          <w:rFonts w:hint="eastAsia" w:ascii="仿宋_GB2312"/>
          <w:szCs w:val="32"/>
        </w:rPr>
        <w:t xml:space="preserve">                 </w:t>
      </w:r>
    </w:p>
    <w:p w14:paraId="77053920">
      <w:pPr>
        <w:pStyle w:val="4"/>
        <w:snapToGrid/>
        <w:jc w:val="center"/>
        <w:rPr>
          <w:rFonts w:hint="eastAsia" w:ascii="仿宋_GB2312"/>
          <w:szCs w:val="32"/>
        </w:rPr>
      </w:pPr>
    </w:p>
    <w:p w14:paraId="25AF3C3F">
      <w:pPr>
        <w:pStyle w:val="4"/>
        <w:snapToGrid/>
        <w:jc w:val="center"/>
        <w:rPr>
          <w:rFonts w:hint="eastAsia" w:ascii="仿宋_GB2312"/>
          <w:szCs w:val="32"/>
        </w:rPr>
      </w:pPr>
    </w:p>
    <w:p w14:paraId="261B5B12">
      <w:pPr>
        <w:pStyle w:val="4"/>
        <w:snapToGrid/>
        <w:jc w:val="center"/>
        <w:rPr>
          <w:rFonts w:hint="eastAsia" w:ascii="仿宋_GB2312"/>
          <w:szCs w:val="32"/>
        </w:rPr>
      </w:pPr>
    </w:p>
    <w:p w14:paraId="2A632EB7">
      <w:pPr>
        <w:pStyle w:val="4"/>
        <w:snapToGrid/>
        <w:jc w:val="center"/>
        <w:rPr>
          <w:rFonts w:hint="eastAsia" w:ascii="仿宋_GB2312"/>
          <w:szCs w:val="32"/>
        </w:rPr>
      </w:pPr>
    </w:p>
    <w:p w14:paraId="76994662">
      <w:pPr>
        <w:pStyle w:val="4"/>
        <w:snapToGrid/>
        <w:jc w:val="center"/>
        <w:rPr>
          <w:rFonts w:hint="eastAsia" w:ascii="仿宋_GB2312"/>
          <w:szCs w:val="32"/>
        </w:rPr>
      </w:pPr>
    </w:p>
    <w:p w14:paraId="5142BA04">
      <w:pPr>
        <w:pStyle w:val="4"/>
        <w:snapToGrid/>
        <w:jc w:val="center"/>
        <w:rPr>
          <w:rFonts w:hint="eastAsia" w:ascii="仿宋_GB2312"/>
          <w:szCs w:val="32"/>
        </w:rPr>
      </w:pPr>
    </w:p>
    <w:p w14:paraId="7EEEABD5">
      <w:pPr>
        <w:pStyle w:val="4"/>
        <w:snapToGrid/>
        <w:jc w:val="center"/>
        <w:rPr>
          <w:rFonts w:hint="eastAsia" w:ascii="仿宋_GB2312"/>
          <w:szCs w:val="32"/>
        </w:rPr>
      </w:pPr>
    </w:p>
    <w:p w14:paraId="5D6C48B8">
      <w:pPr>
        <w:pStyle w:val="4"/>
        <w:snapToGrid/>
        <w:jc w:val="center"/>
        <w:rPr>
          <w:rFonts w:hint="eastAsia" w:ascii="仿宋_GB2312"/>
          <w:szCs w:val="32"/>
        </w:rPr>
      </w:pPr>
    </w:p>
    <w:p w14:paraId="39907098">
      <w:pPr>
        <w:pStyle w:val="4"/>
        <w:snapToGrid/>
        <w:jc w:val="center"/>
        <w:rPr>
          <w:rFonts w:ascii="仿宋_GB2312"/>
          <w:szCs w:val="32"/>
        </w:rPr>
      </w:pPr>
      <w:r>
        <w:rPr>
          <w:rFonts w:hint="eastAsia" w:ascii="仿宋_GB2312"/>
          <w:szCs w:val="32"/>
        </w:rPr>
        <w:t xml:space="preserve">    </w:t>
      </w:r>
      <w:bookmarkStart w:id="7" w:name="发文日期"/>
    </w:p>
    <w:p w14:paraId="5F1A5276">
      <w:pPr>
        <w:ind w:right="1269"/>
        <w:jc w:val="right"/>
        <w:rPr>
          <w:rFonts w:hint="eastAsia" w:ascii="仿宋_GB2312"/>
          <w:szCs w:val="32"/>
        </w:rPr>
      </w:pPr>
      <w:r>
        <w:rPr>
          <w:rFonts w:hint="eastAsia" w:ascii="仿宋_GB2312"/>
          <w:szCs w:val="32"/>
        </w:rPr>
        <w:t xml:space="preserve">  </w:t>
      </w:r>
      <w:bookmarkEnd w:id="7"/>
    </w:p>
    <w:p w14:paraId="21037D7D">
      <w:pPr>
        <w:ind w:firstLine="320"/>
        <w:rPr>
          <w:rFonts w:ascii="仿宋_GB2312"/>
        </w:rPr>
      </w:pPr>
      <w:r>
        <w:rPr>
          <w:rFonts w:ascii="仿宋_GB2312"/>
        </w:rPr>
        <w:t xml:space="preserve">                          </w:t>
      </w:r>
    </w:p>
    <w:tbl>
      <w:tblPr>
        <w:tblStyle w:val="6"/>
        <w:tblW w:w="8934" w:type="dxa"/>
        <w:tblInd w:w="8"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1167"/>
        <w:gridCol w:w="2835"/>
        <w:gridCol w:w="4932"/>
      </w:tblGrid>
      <w:tr w14:paraId="6AF5C8E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wBefore w:w="0" w:type="dxa"/>
          <w:wAfter w:w="0" w:type="dxa"/>
          <w:trHeight w:val="20" w:hRule="atLeast"/>
        </w:trPr>
        <w:tc>
          <w:tcPr>
            <w:tcW w:w="1167" w:type="dxa"/>
            <w:noWrap w:val="0"/>
            <w:vAlign w:val="top"/>
          </w:tcPr>
          <w:p w14:paraId="428AEF1E">
            <w:pPr>
              <w:rPr>
                <w:rFonts w:hint="eastAsia" w:ascii="仿宋_GB2312" w:hAnsi="仿宋"/>
                <w:szCs w:val="32"/>
              </w:rPr>
            </w:pPr>
            <w:r>
              <w:rPr>
                <w:rFonts w:hint="eastAsia" w:ascii="仿宋_GB2312" w:hAnsi="仿宋"/>
                <w:szCs w:val="32"/>
              </w:rPr>
              <w:t xml:space="preserve">  抄送：</w:t>
            </w:r>
          </w:p>
        </w:tc>
        <w:tc>
          <w:tcPr>
            <w:tcW w:w="7767" w:type="dxa"/>
            <w:gridSpan w:val="2"/>
            <w:noWrap w:val="0"/>
            <w:vAlign w:val="top"/>
          </w:tcPr>
          <w:p w14:paraId="7F88649B">
            <w:pPr>
              <w:rPr>
                <w:rFonts w:hint="eastAsia" w:ascii="仿宋_GB2312" w:hAnsi="仿宋"/>
                <w:szCs w:val="32"/>
              </w:rPr>
            </w:pPr>
            <w:bookmarkStart w:id="8" w:name="抄送单位"/>
            <w:r>
              <w:rPr>
                <w:rFonts w:hint="eastAsia" w:ascii="仿宋_GB2312" w:hAnsi="仿宋"/>
                <w:szCs w:val="32"/>
              </w:rPr>
              <w:t>计划财务处</w:t>
            </w:r>
            <w:bookmarkEnd w:id="8"/>
          </w:p>
        </w:tc>
      </w:tr>
      <w:tr w14:paraId="0084142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wBefore w:w="0" w:type="dxa"/>
          <w:wAfter w:w="0" w:type="dxa"/>
          <w:cantSplit/>
          <w:trHeight w:val="20" w:hRule="atLeast"/>
        </w:trPr>
        <w:tc>
          <w:tcPr>
            <w:tcW w:w="4002" w:type="dxa"/>
            <w:gridSpan w:val="2"/>
            <w:noWrap w:val="0"/>
            <w:vAlign w:val="top"/>
          </w:tcPr>
          <w:p w14:paraId="705B9CBC">
            <w:pPr>
              <w:rPr>
                <w:rFonts w:hint="eastAsia" w:ascii="仿宋_GB2312" w:hAnsi="仿宋"/>
                <w:szCs w:val="32"/>
              </w:rPr>
            </w:pPr>
            <w:r>
              <w:rPr>
                <w:rFonts w:hint="eastAsia" w:ascii="仿宋_GB2312" w:hAnsi="仿宋"/>
                <w:szCs w:val="32"/>
              </w:rPr>
              <w:t xml:space="preserve">  </w:t>
            </w:r>
            <w:bookmarkStart w:id="9" w:name="发文单位"/>
            <w:r>
              <w:rPr>
                <w:rFonts w:hint="eastAsia" w:ascii="仿宋_GB2312" w:hAnsi="仿宋"/>
                <w:szCs w:val="32"/>
              </w:rPr>
              <w:t>研究生院（学科建设处）/研究生工作部</w:t>
            </w:r>
            <w:bookmarkEnd w:id="9"/>
          </w:p>
        </w:tc>
        <w:tc>
          <w:tcPr>
            <w:tcW w:w="4932" w:type="dxa"/>
            <w:noWrap w:val="0"/>
            <w:vAlign w:val="top"/>
          </w:tcPr>
          <w:p w14:paraId="574CE397">
            <w:pPr>
              <w:ind w:right="375"/>
              <w:jc w:val="center"/>
              <w:rPr>
                <w:rFonts w:hint="eastAsia" w:ascii="仿宋_GB2312" w:hAnsi="仿宋"/>
                <w:szCs w:val="32"/>
              </w:rPr>
            </w:pPr>
            <w:bookmarkStart w:id="10" w:name="印发日期"/>
            <w:r>
              <w:rPr>
                <w:rFonts w:hint="eastAsia" w:ascii="仿宋_GB2312" w:hAnsi="仿宋"/>
                <w:szCs w:val="32"/>
              </w:rPr>
              <w:t>2021年6月16日</w:t>
            </w:r>
            <w:bookmarkEnd w:id="10"/>
            <w:r>
              <w:rPr>
                <w:rFonts w:hint="eastAsia" w:ascii="仿宋_GB2312" w:hAnsi="仿宋"/>
                <w:szCs w:val="32"/>
              </w:rPr>
              <w:t xml:space="preserve">印发         </w:t>
            </w:r>
          </w:p>
        </w:tc>
      </w:tr>
    </w:tbl>
    <w:p w14:paraId="65BD6863">
      <w:pPr>
        <w:rPr>
          <w:rFonts w:hint="eastAsia"/>
        </w:rPr>
      </w:pPr>
    </w:p>
    <w:sectPr>
      <w:footerReference r:id="rId3" w:type="default"/>
      <w:footerReference r:id="rId4" w:type="even"/>
      <w:pgSz w:w="11906" w:h="16838"/>
      <w:pgMar w:top="2098" w:right="1418" w:bottom="1985" w:left="1588" w:header="1418" w:footer="1644" w:gutter="0"/>
      <w:cols w:space="425" w:num="1"/>
      <w:docGrid w:type="linesAndChars" w:linePitch="577" w:charSpace="-43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1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modern"/>
    <w:pitch w:val="default"/>
    <w:sig w:usb0="800002BF" w:usb1="38CF7CFA" w:usb2="00000016" w:usb3="00000000" w:csb0="00040001" w:csb1="00000000"/>
  </w:font>
  <w:font w:name="方正小标宋简体">
    <w:altName w:val="汉仪书宋二KW"/>
    <w:panose1 w:val="02010601030101010101"/>
    <w:charset w:val="00"/>
    <w:family w:val="auto"/>
    <w:pitch w:val="default"/>
    <w:sig w:usb0="00000001" w:usb1="080E0000" w:usb2="0000001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E535">
    <w:pPr>
      <w:pStyle w:val="3"/>
      <w:framePr w:wrap="around" w:vAnchor="text" w:hAnchor="margin" w:xAlign="center" w:y="1"/>
      <w:rPr>
        <w:rStyle w:val="8"/>
        <w:sz w:val="28"/>
        <w:szCs w:val="28"/>
      </w:rPr>
    </w:pPr>
    <w:r>
      <w:rPr>
        <w:rFonts w:eastAsia="黑体"/>
        <w:sz w:val="28"/>
        <w:szCs w:val="28"/>
      </w:rPr>
      <w:t>—</w:t>
    </w:r>
    <w:r>
      <w:rPr>
        <w:rFonts w:hint="eastAsia" w:eastAsia="黑体"/>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lang/>
      </w:rPr>
      <w:t>6</w:t>
    </w:r>
    <w:r>
      <w:rPr>
        <w:rStyle w:val="8"/>
        <w:sz w:val="28"/>
        <w:szCs w:val="28"/>
      </w:rPr>
      <w:fldChar w:fldCharType="end"/>
    </w:r>
    <w:r>
      <w:rPr>
        <w:rStyle w:val="8"/>
        <w:rFonts w:hint="eastAsia"/>
        <w:sz w:val="28"/>
        <w:szCs w:val="28"/>
      </w:rPr>
      <w:t xml:space="preserve"> </w:t>
    </w:r>
    <w:r>
      <w:rPr>
        <w:rFonts w:eastAsia="黑体"/>
        <w:sz w:val="28"/>
        <w:szCs w:val="28"/>
      </w:rPr>
      <w:t>—</w:t>
    </w:r>
  </w:p>
  <w:p w14:paraId="66ACC025">
    <w:pPr>
      <w:pStyle w:val="3"/>
      <w:ind w:right="34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14ABF">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4347CA8">
    <w:pPr>
      <w:pStyle w:val="3"/>
      <w:ind w:left="317"/>
    </w:pPr>
    <w:r>
      <w:rPr>
        <w:rStyle w:val="8"/>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9"/>
  <w:drawingGridVerticalSpacing w:val="577"/>
  <w:displayHorizontalDrawingGridEvery w:val="0"/>
  <w:displayVerticalDrawingGridEvery w:val="1"/>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FC"/>
    <w:rsid w:val="000806FC"/>
    <w:rsid w:val="000F4556"/>
    <w:rsid w:val="00195E9B"/>
    <w:rsid w:val="001E55CF"/>
    <w:rsid w:val="002F0DB1"/>
    <w:rsid w:val="00384749"/>
    <w:rsid w:val="005533DC"/>
    <w:rsid w:val="0060038C"/>
    <w:rsid w:val="006B440A"/>
    <w:rsid w:val="006D42B5"/>
    <w:rsid w:val="00762C6C"/>
    <w:rsid w:val="008641B1"/>
    <w:rsid w:val="00872BE5"/>
    <w:rsid w:val="008C4728"/>
    <w:rsid w:val="00A605D4"/>
    <w:rsid w:val="00A70C89"/>
    <w:rsid w:val="00A87711"/>
    <w:rsid w:val="00C93E3F"/>
    <w:rsid w:val="00CE61BA"/>
    <w:rsid w:val="00F2220C"/>
    <w:rsid w:val="ADA79840"/>
    <w:rsid w:val="F3F15C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ody Text"/>
    <w:basedOn w:val="1"/>
    <w:uiPriority w:val="0"/>
    <w:pPr>
      <w:jc w:val="center"/>
    </w:pPr>
    <w:rPr>
      <w:rFonts w:eastAsia="宋体"/>
      <w:sz w:val="44"/>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envelope return"/>
    <w:basedOn w:val="1"/>
    <w:uiPriority w:val="0"/>
    <w:pPr>
      <w:snapToGrid w:val="0"/>
    </w:pPr>
    <w:rPr>
      <w:rFonts w:ascii="Arial" w:hAnsi="Arial"/>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jiangyanyun/Library/Containers/com.kingsoft.wpsoffice.mac/Data/C:\WINDOWS\Desktop\&#20869;&#37096;&#20849;&#20139;\zhx\&#34892;&#25919;&#21457;&#25991;(&#19978;&#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行政发文(上行文)</Template>
  <Company>flysoft</Company>
  <Pages>7</Pages>
  <Words>345</Words>
  <Characters>1969</Characters>
  <Lines>16</Lines>
  <Paragraphs>4</Paragraphs>
  <TotalTime>0</TotalTime>
  <ScaleCrop>false</ScaleCrop>
  <LinksUpToDate>false</LinksUpToDate>
  <CharactersWithSpaces>2310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2021-09-06T08:54:00Z</dcterms:created>
  <dc:creator>Anonymous</dc:creator>
  <cp:lastModifiedBy>章鱼大主教</cp:lastModifiedBy>
  <cp:lastPrinted>2005-12-02T16:52:00Z</cp:lastPrinted>
  <dcterms:modified xsi:type="dcterms:W3CDTF">2024-08-21T10:47:32Z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rtfname">
    <vt:lpwstr>body</vt:lpwstr>
  </property>
  <property fmtid="{D5CDD505-2E9C-101B-9397-08002B2CF9AE}" pid="3" name="systype">
    <vt:lpwstr>template</vt:lpwstr>
  </property>
  <property fmtid="{D5CDD505-2E9C-101B-9397-08002B2CF9AE}" pid="4" name="KSOProductBuildVer">
    <vt:lpwstr>2052-6.10.1.8873</vt:lpwstr>
  </property>
  <property fmtid="{D5CDD505-2E9C-101B-9397-08002B2CF9AE}" pid="5" name="ICV">
    <vt:lpwstr>C30926B0A21383FF4455C566779ECD06_42</vt:lpwstr>
  </property>
</Properties>
</file>