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28" w:lineRule="auto"/>
        <w:ind w:right="169"/>
        <w:jc w:val="center"/>
        <w:rPr>
          <w:rFonts w:ascii="方正小标宋简体" w:eastAsia="方正小标宋简体"/>
          <w:spacing w:val="10"/>
          <w:w w:val="95"/>
          <w:sz w:val="40"/>
          <w:szCs w:val="40"/>
        </w:rPr>
      </w:pPr>
      <w:r>
        <w:rPr>
          <w:rFonts w:hint="eastAsia" w:ascii="方正小标宋简体" w:eastAsia="方正小标宋简体"/>
          <w:spacing w:val="10"/>
          <w:w w:val="95"/>
          <w:sz w:val="40"/>
          <w:szCs w:val="40"/>
        </w:rPr>
        <w:t>浙江工业大学第三届课程思政专项赛方案</w:t>
      </w:r>
    </w:p>
    <w:p>
      <w:pPr>
        <w:pStyle w:val="2"/>
        <w:spacing w:before="152" w:line="328" w:lineRule="auto"/>
        <w:ind w:right="169"/>
        <w:jc w:val="center"/>
        <w:rPr>
          <w:rFonts w:ascii="方正小标宋简体" w:eastAsia="方正小标宋简体"/>
          <w:spacing w:val="10"/>
          <w:w w:val="95"/>
          <w:sz w:val="40"/>
          <w:szCs w:val="4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一、参赛对象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我校在职或正式聘用教师，以个人或团队形式报名，团队总人数不超过</w:t>
      </w:r>
      <w:r>
        <w:rPr>
          <w:rFonts w:ascii="仿宋" w:hAnsi="仿宋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人。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赛事安排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专项赛根据参赛课程所在学科分为文科组、理工科组，不含思想政治理论课。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（一）学院（部）选拔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1.各学院（部）通过组织遴选，向学校推荐2门参赛课程。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 w:cs="Times New Roman"/>
          <w:sz w:val="32"/>
          <w:szCs w:val="32"/>
        </w:rPr>
        <w:t>已获得浙江省前两届高校教师教学创新大赛“课</w:t>
      </w:r>
      <w:r>
        <w:rPr>
          <w:rFonts w:ascii="仿宋" w:hAnsi="仿宋" w:eastAsia="仿宋" w:cs="Times New Roman"/>
          <w:sz w:val="32"/>
          <w:szCs w:val="32"/>
        </w:rPr>
        <w:t>程思政”微课专项赛一等奖的课程作品不能重复参赛。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（二）学校</w:t>
      </w:r>
      <w:r>
        <w:rPr>
          <w:rFonts w:ascii="仿宋" w:hAnsi="仿宋" w:eastAsia="仿宋" w:cs="Times New Roman"/>
          <w:b/>
          <w:bCs/>
          <w:sz w:val="32"/>
          <w:szCs w:val="32"/>
        </w:rPr>
        <w:t>竞赛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校赛包括网络评审和现场评审。评审标准见附件</w:t>
      </w:r>
      <w:r>
        <w:rPr>
          <w:rFonts w:ascii="仿宋" w:hAnsi="仿宋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-</w:t>
      </w:r>
      <w:r>
        <w:rPr>
          <w:rFonts w:ascii="仿宋" w:hAnsi="仿宋" w:eastAsia="仿宋" w:cs="Times New Roman"/>
          <w:sz w:val="32"/>
          <w:szCs w:val="32"/>
        </w:rPr>
        <w:t>2。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Times New Roman"/>
          <w:sz w:val="32"/>
          <w:szCs w:val="32"/>
        </w:rPr>
        <w:t>网络评审。参赛教师提交微课设计书及</w:t>
      </w:r>
      <w:r>
        <w:rPr>
          <w:rFonts w:ascii="仿宋" w:hAnsi="仿宋" w:eastAsia="仿宋" w:cs="Times New Roman"/>
          <w:b/>
          <w:bCs/>
          <w:sz w:val="32"/>
          <w:szCs w:val="32"/>
        </w:rPr>
        <w:t>8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-</w:t>
      </w:r>
      <w:r>
        <w:rPr>
          <w:rFonts w:ascii="仿宋" w:hAnsi="仿宋" w:eastAsia="仿宋" w:cs="Times New Roman"/>
          <w:b/>
          <w:bCs/>
          <w:sz w:val="32"/>
          <w:szCs w:val="32"/>
        </w:rPr>
        <w:t>12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分钟</w:t>
      </w:r>
      <w:r>
        <w:rPr>
          <w:rFonts w:ascii="仿宋" w:hAnsi="仿宋" w:eastAsia="仿宋" w:cs="Times New Roman"/>
          <w:sz w:val="32"/>
          <w:szCs w:val="32"/>
        </w:rPr>
        <w:t>的</w:t>
      </w:r>
      <w:r>
        <w:rPr>
          <w:rFonts w:hint="eastAsia" w:ascii="仿宋" w:hAnsi="仿宋" w:eastAsia="仿宋" w:cs="Times New Roman"/>
          <w:sz w:val="32"/>
          <w:szCs w:val="32"/>
        </w:rPr>
        <w:t>微课教学视频</w:t>
      </w:r>
      <w:bookmarkStart w:id="0" w:name="_GoBack"/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2个</w:t>
      </w:r>
      <w:bookmarkEnd w:id="0"/>
      <w:r>
        <w:rPr>
          <w:rFonts w:hint="eastAsia" w:ascii="仿宋" w:hAnsi="仿宋" w:eastAsia="仿宋" w:cs="Times New Roman"/>
          <w:sz w:val="32"/>
          <w:szCs w:val="32"/>
        </w:rPr>
        <w:t>。由专家评委进行网络评审</w:t>
      </w:r>
      <w:r>
        <w:rPr>
          <w:rFonts w:ascii="仿宋" w:hAnsi="仿宋" w:eastAsia="仿宋" w:cs="Times New Roman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确定入围参加现场评审的名单。</w:t>
      </w:r>
    </w:p>
    <w:p>
      <w:pPr>
        <w:widowControl/>
        <w:shd w:val="clear" w:color="auto" w:fill="FFFFFF"/>
        <w:spacing w:after="150" w:line="315" w:lineRule="atLeast"/>
        <w:ind w:firstLine="480"/>
        <w:rPr>
          <w:rFonts w:ascii="仿宋" w:hAnsi="仿宋" w:eastAsia="仿宋" w:cs="Arial"/>
          <w:color w:val="333333"/>
          <w:kern w:val="0"/>
          <w:sz w:val="24"/>
          <w:szCs w:val="24"/>
        </w:rPr>
      </w:pPr>
      <w:r>
        <w:rPr>
          <w:rFonts w:hint="eastAsia" w:ascii="仿宋" w:hAnsi="仿宋" w:eastAsia="仿宋" w:cs="Times New Roman"/>
          <w:sz w:val="32"/>
          <w:szCs w:val="32"/>
        </w:rPr>
        <w:t>2</w:t>
      </w:r>
      <w:r>
        <w:rPr>
          <w:rFonts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</w:rPr>
        <w:t>现场评审。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</w:rPr>
        <w:t>参赛教师结合教学大纲与教学设计，进行</w:t>
      </w:r>
      <w:r>
        <w:rPr>
          <w:rFonts w:hint="eastAsia" w:ascii="仿宋" w:hAnsi="仿宋" w:eastAsia="仿宋" w:cs="Arial"/>
          <w:b/>
          <w:bCs/>
          <w:color w:val="333333"/>
          <w:kern w:val="0"/>
          <w:sz w:val="32"/>
          <w:szCs w:val="32"/>
        </w:rPr>
        <w:t>8-</w:t>
      </w:r>
      <w:r>
        <w:rPr>
          <w:rFonts w:ascii="仿宋" w:hAnsi="仿宋" w:eastAsia="仿宋" w:cs="Arial"/>
          <w:b/>
          <w:bCs/>
          <w:color w:val="333333"/>
          <w:kern w:val="0"/>
          <w:sz w:val="32"/>
          <w:szCs w:val="32"/>
        </w:rPr>
        <w:t>12</w:t>
      </w:r>
      <w:r>
        <w:rPr>
          <w:rFonts w:hint="eastAsia" w:ascii="仿宋" w:hAnsi="仿宋" w:eastAsia="仿宋" w:cs="Arial"/>
          <w:b/>
          <w:bCs/>
          <w:color w:val="333333"/>
          <w:kern w:val="0"/>
          <w:sz w:val="32"/>
          <w:szCs w:val="32"/>
        </w:rPr>
        <w:t>分钟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</w:rPr>
        <w:t>的现场微课教学，专家评委依据评分标准对选手的现场教学和提交的材料进行打分，按最终成绩确定奖项。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材料要求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参赛教师需提交的材料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1.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微课设计书（附件4</w:t>
      </w:r>
      <w:r>
        <w:rPr>
          <w:rFonts w:ascii="仿宋" w:hAnsi="仿宋" w:eastAsia="仿宋" w:cs="Times New Roman"/>
          <w:color w:val="000000"/>
          <w:sz w:val="32"/>
          <w:szCs w:val="32"/>
        </w:rPr>
        <w:t>-1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）。包含课程基本情况、教学情况、课程思政教学设计思路等。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2.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微课教学视频。</w:t>
      </w: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</w:rPr>
        <w:t>视频时长8-</w:t>
      </w:r>
      <w:r>
        <w:rPr>
          <w:rFonts w:ascii="仿宋" w:hAnsi="仿宋" w:eastAsia="仿宋" w:cs="Times New Roman"/>
          <w:b/>
          <w:bCs/>
          <w:color w:val="000000"/>
          <w:sz w:val="32"/>
          <w:szCs w:val="32"/>
        </w:rPr>
        <w:t>12</w:t>
      </w: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</w:rPr>
        <w:t>分钟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内含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P</w:t>
      </w:r>
      <w:r>
        <w:rPr>
          <w:rFonts w:ascii="仿宋" w:hAnsi="仿宋" w:eastAsia="仿宋" w:cs="Times New Roman"/>
          <w:b/>
          <w:bCs/>
          <w:sz w:val="32"/>
          <w:szCs w:val="32"/>
        </w:rPr>
        <w:t>PT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+讲授声音</w:t>
      </w:r>
      <w:r>
        <w:rPr>
          <w:rFonts w:hint="eastAsia" w:ascii="仿宋" w:hAnsi="仿宋" w:eastAsia="仿宋" w:cs="Times New Roman"/>
          <w:sz w:val="32"/>
          <w:szCs w:val="32"/>
        </w:rPr>
        <w:t>即可，可全程不出现主讲教师。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四、奖项设置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月完成课程思政专项赛工作。专项赛设特等奖、一等奖、二等奖若干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附件4</w:t>
      </w:r>
      <w:r>
        <w:rPr>
          <w:rFonts w:ascii="仿宋" w:hAnsi="仿宋" w:eastAsia="仿宋" w:cs="Times New Roman"/>
          <w:color w:val="000000"/>
          <w:sz w:val="32"/>
          <w:szCs w:val="32"/>
        </w:rPr>
        <w:t>-1</w:t>
      </w:r>
    </w:p>
    <w:p>
      <w:pPr>
        <w:spacing w:before="43"/>
        <w:ind w:left="462" w:firstLine="104" w:firstLineChars="29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“课程思政” 微课专项赛课程微课设计书</w:t>
      </w:r>
    </w:p>
    <w:p>
      <w:pPr>
        <w:pStyle w:val="2"/>
        <w:spacing w:before="11"/>
        <w:rPr>
          <w:rFonts w:ascii="宋体"/>
          <w:sz w:val="19"/>
        </w:rPr>
      </w:pPr>
    </w:p>
    <w:tbl>
      <w:tblPr>
        <w:tblStyle w:val="12"/>
        <w:tblW w:w="8652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1926"/>
        <w:gridCol w:w="2003"/>
        <w:gridCol w:w="3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702" w:type="dxa"/>
            <w:vAlign w:val="center"/>
          </w:tcPr>
          <w:p>
            <w:pPr>
              <w:pStyle w:val="13"/>
              <w:spacing w:before="129"/>
              <w:ind w:left="15" w:right="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课程名称：</w:t>
            </w:r>
          </w:p>
        </w:tc>
        <w:tc>
          <w:tcPr>
            <w:tcW w:w="6950" w:type="dxa"/>
            <w:gridSpan w:val="3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  <w:vAlign w:val="center"/>
          </w:tcPr>
          <w:p>
            <w:pPr>
              <w:pStyle w:val="13"/>
              <w:spacing w:before="127"/>
              <w:ind w:left="15" w:right="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主讲教师</w:t>
            </w:r>
          </w:p>
        </w:tc>
        <w:tc>
          <w:tcPr>
            <w:tcW w:w="1926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vAlign w:val="center"/>
          </w:tcPr>
          <w:p>
            <w:pPr>
              <w:pStyle w:val="13"/>
              <w:spacing w:before="127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所在学院</w:t>
            </w:r>
          </w:p>
        </w:tc>
        <w:tc>
          <w:tcPr>
            <w:tcW w:w="3021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  <w:vAlign w:val="center"/>
          </w:tcPr>
          <w:p>
            <w:pPr>
              <w:pStyle w:val="13"/>
              <w:spacing w:before="127"/>
              <w:ind w:left="15" w:right="9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课程团队</w:t>
            </w:r>
          </w:p>
          <w:p>
            <w:pPr>
              <w:pStyle w:val="13"/>
              <w:spacing w:before="127"/>
              <w:ind w:left="15" w:right="9"/>
              <w:jc w:val="center"/>
              <w:rPr>
                <w:rFonts w:hint="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（不超过3人）</w:t>
            </w:r>
          </w:p>
        </w:tc>
        <w:tc>
          <w:tcPr>
            <w:tcW w:w="1926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003" w:type="dxa"/>
            <w:vAlign w:val="center"/>
          </w:tcPr>
          <w:p>
            <w:pPr>
              <w:pStyle w:val="13"/>
              <w:spacing w:before="127"/>
              <w:ind w:left="397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  <w:vAlign w:val="center"/>
          </w:tcPr>
          <w:p>
            <w:pPr>
              <w:pStyle w:val="13"/>
              <w:spacing w:before="127"/>
              <w:ind w:left="15" w:right="9"/>
              <w:jc w:val="center"/>
              <w:rPr>
                <w:rFonts w:hint="eastAsia"/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en-US"/>
              </w:rPr>
              <w:t xml:space="preserve">课程性质 </w:t>
            </w:r>
            <w:r>
              <w:rPr>
                <w:b/>
                <w:sz w:val="24"/>
                <w:szCs w:val="24"/>
                <w:vertAlign w:val="superscript"/>
                <w:lang w:eastAsia="en-US"/>
              </w:rPr>
              <w:t>1</w:t>
            </w:r>
            <w:r>
              <w:rPr>
                <w:rFonts w:hint="eastAsia"/>
                <w:b/>
                <w:sz w:val="24"/>
                <w:szCs w:val="24"/>
                <w:lang w:eastAsia="en-US"/>
              </w:rPr>
              <w:t>：</w:t>
            </w:r>
          </w:p>
        </w:tc>
        <w:tc>
          <w:tcPr>
            <w:tcW w:w="1926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vAlign w:val="center"/>
          </w:tcPr>
          <w:p>
            <w:pPr>
              <w:pStyle w:val="13"/>
              <w:spacing w:before="127"/>
              <w:ind w:left="397"/>
              <w:jc w:val="center"/>
              <w:rPr>
                <w:rFonts w:hint="eastAsia"/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en-US"/>
              </w:rPr>
              <w:t>授课对象：</w:t>
            </w:r>
          </w:p>
        </w:tc>
        <w:tc>
          <w:tcPr>
            <w:tcW w:w="3021" w:type="dxa"/>
            <w:vAlign w:val="center"/>
          </w:tcPr>
          <w:p>
            <w:pPr>
              <w:pStyle w:val="13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8652" w:type="dxa"/>
            <w:gridSpan w:val="4"/>
            <w:vAlign w:val="center"/>
          </w:tcPr>
          <w:p>
            <w:pPr>
              <w:pStyle w:val="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教学情况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2" w:hRule="atLeast"/>
        </w:trPr>
        <w:tc>
          <w:tcPr>
            <w:tcW w:w="8652" w:type="dxa"/>
            <w:gridSpan w:val="4"/>
          </w:tcPr>
          <w:p>
            <w:pPr>
              <w:pStyle w:val="13"/>
              <w:spacing w:before="18"/>
              <w:ind w:left="6"/>
              <w:jc w:val="both"/>
              <w:rPr>
                <w:lang w:eastAsia="zh-CN"/>
              </w:rPr>
            </w:pPr>
            <w:r>
              <w:rPr>
                <w:lang w:eastAsia="zh-CN"/>
              </w:rPr>
              <w:t>（个人或团队近5年参赛课程开展情况，承担学校本科生教学任务、开展教学研究、获得教学奖励等方面的情况）。</w:t>
            </w:r>
          </w:p>
          <w:p>
            <w:pPr>
              <w:pStyle w:val="13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02" w:type="dxa"/>
            <w:vAlign w:val="center"/>
          </w:tcPr>
          <w:p>
            <w:pPr>
              <w:pStyle w:val="13"/>
              <w:spacing w:before="14"/>
              <w:ind w:left="15" w:right="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en-US"/>
              </w:rPr>
              <w:t>微课章节名称</w:t>
            </w:r>
          </w:p>
          <w:p>
            <w:pPr>
              <w:pStyle w:val="13"/>
              <w:spacing w:before="7"/>
              <w:ind w:left="17" w:right="6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en-US"/>
              </w:rPr>
              <w:t>（</w:t>
            </w:r>
            <w:r>
              <w:rPr>
                <w:b/>
                <w:sz w:val="24"/>
                <w:szCs w:val="24"/>
                <w:lang w:eastAsia="en-US"/>
              </w:rPr>
              <w:t xml:space="preserve">3 </w:t>
            </w:r>
            <w:r>
              <w:rPr>
                <w:rFonts w:hint="eastAsia"/>
                <w:b/>
                <w:sz w:val="24"/>
                <w:szCs w:val="24"/>
                <w:lang w:eastAsia="en-US"/>
              </w:rPr>
              <w:t>个）</w:t>
            </w:r>
          </w:p>
        </w:tc>
        <w:tc>
          <w:tcPr>
            <w:tcW w:w="3929" w:type="dxa"/>
            <w:gridSpan w:val="2"/>
            <w:vAlign w:val="center"/>
          </w:tcPr>
          <w:p>
            <w:pPr>
              <w:pStyle w:val="13"/>
              <w:spacing w:before="186"/>
              <w:ind w:left="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21" w:type="dxa"/>
            <w:vAlign w:val="center"/>
          </w:tcPr>
          <w:p>
            <w:pPr>
              <w:pStyle w:val="13"/>
              <w:spacing w:before="181"/>
              <w:ind w:left="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652" w:type="dxa"/>
            <w:gridSpan w:val="4"/>
          </w:tcPr>
          <w:p>
            <w:pPr>
              <w:pStyle w:val="13"/>
              <w:spacing w:before="16"/>
              <w:ind w:left="3490" w:right="4147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教学设计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</w:trPr>
        <w:tc>
          <w:tcPr>
            <w:tcW w:w="1702" w:type="dxa"/>
          </w:tcPr>
          <w:p>
            <w:pPr>
              <w:pStyle w:val="13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before="3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line="244" w:lineRule="auto"/>
              <w:ind w:left="127" w:right="118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切入课程思政的课程知识点</w:t>
            </w:r>
          </w:p>
        </w:tc>
        <w:tc>
          <w:tcPr>
            <w:tcW w:w="6950" w:type="dxa"/>
            <w:gridSpan w:val="3"/>
          </w:tcPr>
          <w:p>
            <w:pPr>
              <w:pStyle w:val="13"/>
              <w:spacing w:before="18"/>
              <w:ind w:left="6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（具体的课程知识要点）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</w:trPr>
        <w:tc>
          <w:tcPr>
            <w:tcW w:w="1702" w:type="dxa"/>
          </w:tcPr>
          <w:p>
            <w:pPr>
              <w:pStyle w:val="13"/>
              <w:spacing w:before="11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line="242" w:lineRule="auto"/>
              <w:ind w:left="489" w:right="118" w:hanging="363"/>
              <w:rPr>
                <w:b/>
                <w:sz w:val="24"/>
                <w:szCs w:val="24"/>
                <w:lang w:eastAsia="en-US"/>
              </w:rPr>
            </w:pPr>
            <w:r>
              <w:rPr>
                <w:rFonts w:hint="eastAsia"/>
                <w:b/>
                <w:sz w:val="24"/>
                <w:szCs w:val="24"/>
                <w:lang w:eastAsia="en-US"/>
              </w:rPr>
              <w:t>思政教育的课程目标</w:t>
            </w:r>
          </w:p>
        </w:tc>
        <w:tc>
          <w:tcPr>
            <w:tcW w:w="6950" w:type="dxa"/>
            <w:gridSpan w:val="3"/>
          </w:tcPr>
          <w:p>
            <w:pPr>
              <w:pStyle w:val="13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1702" w:type="dxa"/>
          </w:tcPr>
          <w:p>
            <w:pPr>
              <w:pStyle w:val="13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before="206" w:line="244" w:lineRule="auto"/>
              <w:ind w:left="127" w:right="118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知识点与思政教育结合的教学设计</w:t>
            </w:r>
          </w:p>
        </w:tc>
        <w:tc>
          <w:tcPr>
            <w:tcW w:w="6950" w:type="dxa"/>
            <w:gridSpan w:val="3"/>
          </w:tcPr>
          <w:p>
            <w:pPr>
              <w:pStyle w:val="13"/>
              <w:spacing w:before="14" w:line="244" w:lineRule="auto"/>
              <w:ind w:left="6" w:right="17"/>
              <w:rPr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（包括知识点教学过程中如何切入与衔接思政教育，具体思政教</w:t>
            </w:r>
            <w:r>
              <w:rPr>
                <w:rFonts w:hint="eastAsia"/>
                <w:bCs/>
                <w:spacing w:val="-3"/>
                <w:lang w:eastAsia="zh-CN"/>
              </w:rPr>
              <w:t>育内容，运用什么方法组织实施等。</w:t>
            </w:r>
            <w:r>
              <w:rPr>
                <w:rFonts w:hint="eastAsia"/>
                <w:bCs/>
                <w:color w:val="FF0000"/>
                <w:spacing w:val="-3"/>
                <w:lang w:eastAsia="zh-CN"/>
              </w:rPr>
              <w:t xml:space="preserve">不少于 </w:t>
            </w:r>
            <w:r>
              <w:rPr>
                <w:rFonts w:hint="eastAsia"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/>
                <w:bCs/>
                <w:color w:val="FF0000"/>
                <w:lang w:eastAsia="zh-CN"/>
              </w:rPr>
              <w:t>个教学设计。</w:t>
            </w:r>
            <w:r>
              <w:rPr>
                <w:rFonts w:hint="eastAsia"/>
                <w:bCs/>
                <w:color w:val="FF0000"/>
                <w:lang w:val="en-US" w:eastAsia="zh-CN"/>
              </w:rPr>
              <w:t>2</w:t>
            </w:r>
            <w:r>
              <w:rPr>
                <w:bCs/>
                <w:color w:val="FF0000"/>
                <w:lang w:eastAsia="zh-CN"/>
              </w:rPr>
              <w:t xml:space="preserve"> </w:t>
            </w:r>
            <w:r>
              <w:rPr>
                <w:rFonts w:hint="eastAsia"/>
                <w:bCs/>
                <w:color w:val="FF0000"/>
                <w:spacing w:val="-6"/>
                <w:lang w:eastAsia="zh-CN"/>
              </w:rPr>
              <w:t>个设</w:t>
            </w:r>
            <w:r>
              <w:rPr>
                <w:rFonts w:hint="eastAsia"/>
                <w:bCs/>
                <w:color w:val="FF0000"/>
                <w:lang w:eastAsia="zh-CN"/>
              </w:rPr>
              <w:t>计分开陈述，不够可另附页</w:t>
            </w:r>
            <w:r>
              <w:rPr>
                <w:rFonts w:hint="eastAsia"/>
                <w:bCs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4" w:hRule="atLeast"/>
        </w:trPr>
        <w:tc>
          <w:tcPr>
            <w:tcW w:w="1702" w:type="dxa"/>
          </w:tcPr>
          <w:p>
            <w:pPr>
              <w:pStyle w:val="13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before="10"/>
              <w:rPr>
                <w:sz w:val="24"/>
                <w:szCs w:val="24"/>
                <w:lang w:eastAsia="zh-CN"/>
              </w:rPr>
            </w:pPr>
          </w:p>
          <w:p>
            <w:pPr>
              <w:pStyle w:val="13"/>
              <w:spacing w:before="1"/>
              <w:ind w:left="15" w:right="9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特色及创新</w:t>
            </w:r>
          </w:p>
          <w:p>
            <w:pPr>
              <w:pStyle w:val="13"/>
              <w:spacing w:before="6"/>
              <w:ind w:left="17" w:right="9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b/>
                <w:sz w:val="24"/>
                <w:szCs w:val="24"/>
                <w:lang w:eastAsia="zh-CN"/>
              </w:rPr>
              <w:t xml:space="preserve">300 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字左右）</w:t>
            </w:r>
          </w:p>
        </w:tc>
        <w:tc>
          <w:tcPr>
            <w:tcW w:w="6950" w:type="dxa"/>
            <w:gridSpan w:val="3"/>
          </w:tcPr>
          <w:p>
            <w:pPr>
              <w:pStyle w:val="13"/>
              <w:rPr>
                <w:sz w:val="24"/>
                <w:szCs w:val="24"/>
                <w:lang w:eastAsia="zh-CN"/>
              </w:rPr>
            </w:pPr>
          </w:p>
        </w:tc>
      </w:tr>
    </w:tbl>
    <w:p>
      <w:pPr>
        <w:ind w:left="508"/>
        <w:rPr>
          <w:rFonts w:ascii="宋体" w:eastAsia="宋体"/>
          <w:sz w:val="18"/>
        </w:rPr>
      </w:pPr>
      <w:r>
        <w:rPr>
          <w:rFonts w:eastAsia="Times New Roman"/>
          <w:sz w:val="18"/>
        </w:rPr>
        <w:t>1:</w:t>
      </w:r>
      <w:r>
        <w:rPr>
          <w:rFonts w:hint="eastAsia" w:ascii="宋体" w:eastAsia="宋体"/>
          <w:sz w:val="18"/>
        </w:rPr>
        <w:t>如通识课程、公共基础课程、专业课程等</w:t>
      </w: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附件4</w:t>
      </w:r>
      <w:r>
        <w:rPr>
          <w:rFonts w:ascii="仿宋" w:hAnsi="仿宋" w:eastAsia="仿宋" w:cs="Times New Roman"/>
          <w:color w:val="000000"/>
          <w:sz w:val="32"/>
          <w:szCs w:val="32"/>
        </w:rPr>
        <w:t>-2</w:t>
      </w:r>
    </w:p>
    <w:p>
      <w:pPr>
        <w:spacing w:line="640" w:lineRule="exact"/>
        <w:jc w:val="center"/>
        <w:rPr>
          <w:rFonts w:eastAsia="方正小标宋简体"/>
          <w:sz w:val="40"/>
          <w:szCs w:val="40"/>
          <w:lang w:val="zh-TW" w:eastAsia="zh-TW"/>
        </w:rPr>
      </w:pPr>
      <w:r>
        <w:rPr>
          <w:rFonts w:hint="eastAsia" w:eastAsia="方正小标宋简体"/>
          <w:sz w:val="40"/>
          <w:szCs w:val="40"/>
          <w:lang w:val="zh-TW"/>
        </w:rPr>
        <w:t>课程思政专项赛评分标准</w:t>
      </w:r>
    </w:p>
    <w:tbl>
      <w:tblPr>
        <w:tblStyle w:val="12"/>
        <w:tblW w:w="9236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5948"/>
        <w:gridCol w:w="2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60" w:type="dxa"/>
          </w:tcPr>
          <w:p>
            <w:pPr>
              <w:pStyle w:val="13"/>
              <w:spacing w:before="194"/>
              <w:ind w:left="126" w:right="114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指标</w:t>
            </w:r>
          </w:p>
        </w:tc>
        <w:tc>
          <w:tcPr>
            <w:tcW w:w="5948" w:type="dxa"/>
          </w:tcPr>
          <w:p>
            <w:pPr>
              <w:pStyle w:val="13"/>
              <w:spacing w:before="194"/>
              <w:ind w:left="2471" w:right="2462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主要内容</w:t>
            </w:r>
          </w:p>
        </w:tc>
        <w:tc>
          <w:tcPr>
            <w:tcW w:w="2028" w:type="dxa"/>
          </w:tcPr>
          <w:p>
            <w:pPr>
              <w:pStyle w:val="13"/>
              <w:spacing w:before="194"/>
              <w:ind w:left="691" w:right="683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分 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1260" w:type="dxa"/>
          </w:tcPr>
          <w:p>
            <w:pPr>
              <w:pStyle w:val="13"/>
              <w:rPr>
                <w:sz w:val="24"/>
                <w:lang w:eastAsia="en-US"/>
              </w:rPr>
            </w:pPr>
          </w:p>
          <w:p>
            <w:pPr>
              <w:pStyle w:val="13"/>
              <w:rPr>
                <w:sz w:val="34"/>
                <w:lang w:eastAsia="en-US"/>
              </w:rPr>
            </w:pPr>
          </w:p>
          <w:p>
            <w:pPr>
              <w:pStyle w:val="13"/>
              <w:ind w:left="126" w:right="12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课程目标</w:t>
            </w:r>
          </w:p>
        </w:tc>
        <w:tc>
          <w:tcPr>
            <w:tcW w:w="5948" w:type="dxa"/>
          </w:tcPr>
          <w:p>
            <w:pPr>
              <w:pStyle w:val="13"/>
              <w:spacing w:before="120" w:line="242" w:lineRule="auto"/>
              <w:ind w:left="107" w:right="307" w:firstLine="4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以立德树人为本，培养学生正确的“三观”，注重实效；教学目标明确，关注树立社会主义核心价值 </w:t>
            </w:r>
            <w:r>
              <w:rPr>
                <w:spacing w:val="-1"/>
                <w:sz w:val="24"/>
                <w:lang w:eastAsia="zh-CN"/>
              </w:rPr>
              <w:t>观，培养爱国主义情怀，增强国家认同、政治认同、</w:t>
            </w:r>
            <w:r>
              <w:rPr>
                <w:sz w:val="24"/>
                <w:lang w:eastAsia="zh-CN"/>
              </w:rPr>
              <w:t>文化认同，激发学生科学精神等，体现教学的“教育性”。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ind w:left="691" w:right="572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1260" w:type="dxa"/>
          </w:tcPr>
          <w:p>
            <w:pPr>
              <w:pStyle w:val="13"/>
              <w:rPr>
                <w:sz w:val="24"/>
                <w:lang w:eastAsia="en-US"/>
              </w:rPr>
            </w:pPr>
          </w:p>
          <w:p>
            <w:pPr>
              <w:pStyle w:val="13"/>
              <w:spacing w:before="208" w:line="242" w:lineRule="auto"/>
              <w:ind w:left="388" w:right="137" w:hanging="243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思政教学内容</w:t>
            </w:r>
          </w:p>
        </w:tc>
        <w:tc>
          <w:tcPr>
            <w:tcW w:w="5948" w:type="dxa"/>
          </w:tcPr>
          <w:p>
            <w:pPr>
              <w:pStyle w:val="13"/>
              <w:spacing w:before="203" w:line="242" w:lineRule="auto"/>
              <w:ind w:left="107" w:right="307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科学性与思想性相统—，思政教学内容饱满。反映体现社会主义核心价值观、中国优秀传统文化、革命文化、社会主义先进文化、科学精神、习近平新时代中国特色社会主义思想等。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ind w:left="691" w:right="68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1260" w:type="dxa"/>
          </w:tcPr>
          <w:p>
            <w:pPr>
              <w:pStyle w:val="13"/>
              <w:rPr>
                <w:sz w:val="24"/>
                <w:lang w:eastAsia="en-US"/>
              </w:rPr>
            </w:pPr>
          </w:p>
          <w:p>
            <w:pPr>
              <w:pStyle w:val="13"/>
              <w:spacing w:before="11"/>
              <w:rPr>
                <w:sz w:val="21"/>
                <w:lang w:eastAsia="en-US"/>
              </w:rPr>
            </w:pPr>
          </w:p>
          <w:p>
            <w:pPr>
              <w:pStyle w:val="13"/>
              <w:ind w:left="126" w:right="12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教学设计</w:t>
            </w:r>
          </w:p>
        </w:tc>
        <w:tc>
          <w:tcPr>
            <w:tcW w:w="5948" w:type="dxa"/>
          </w:tcPr>
          <w:p>
            <w:pPr>
              <w:pStyle w:val="13"/>
              <w:spacing w:before="120" w:line="244" w:lineRule="auto"/>
              <w:ind w:left="107" w:right="307" w:firstLine="480"/>
              <w:rPr>
                <w:sz w:val="24"/>
                <w:lang w:eastAsia="en-US"/>
              </w:rPr>
            </w:pPr>
            <w:r>
              <w:rPr>
                <w:spacing w:val="-1"/>
                <w:sz w:val="24"/>
                <w:lang w:eastAsia="zh-CN"/>
              </w:rPr>
              <w:t>符合学生的品德、品格、品性养成规律；知识点</w:t>
            </w:r>
            <w:r>
              <w:rPr>
                <w:sz w:val="24"/>
                <w:lang w:eastAsia="zh-CN"/>
              </w:rPr>
              <w:t xml:space="preserve">与思政教学切入与转换自然流畅，教学过程主线清 </w:t>
            </w:r>
            <w:r>
              <w:rPr>
                <w:spacing w:val="-1"/>
                <w:sz w:val="24"/>
                <w:lang w:eastAsia="zh-CN"/>
              </w:rPr>
              <w:t>晰、重点突出，逻辑性强；教学组织与实施注重学生</w:t>
            </w:r>
            <w:r>
              <w:rPr>
                <w:sz w:val="24"/>
                <w:lang w:eastAsia="zh-CN"/>
              </w:rPr>
              <w:t>参与。</w:t>
            </w:r>
            <w:r>
              <w:rPr>
                <w:sz w:val="24"/>
                <w:lang w:eastAsia="en-US"/>
              </w:rPr>
              <w:t>知识传授与立德树人契合度高。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ind w:left="691" w:right="68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1260" w:type="dxa"/>
          </w:tcPr>
          <w:p>
            <w:pPr>
              <w:pStyle w:val="13"/>
              <w:rPr>
                <w:sz w:val="24"/>
                <w:lang w:eastAsia="en-US"/>
              </w:rPr>
            </w:pPr>
          </w:p>
          <w:p>
            <w:pPr>
              <w:pStyle w:val="13"/>
              <w:spacing w:before="11"/>
              <w:rPr>
                <w:sz w:val="21"/>
                <w:lang w:eastAsia="en-US"/>
              </w:rPr>
            </w:pPr>
          </w:p>
          <w:p>
            <w:pPr>
              <w:pStyle w:val="13"/>
              <w:ind w:left="126" w:right="12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教学方法</w:t>
            </w:r>
          </w:p>
        </w:tc>
        <w:tc>
          <w:tcPr>
            <w:tcW w:w="5948" w:type="dxa"/>
          </w:tcPr>
          <w:p>
            <w:pPr>
              <w:pStyle w:val="13"/>
              <w:spacing w:before="120" w:line="242" w:lineRule="auto"/>
              <w:ind w:left="107" w:right="308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注重调动学生的学习积极性和主动性；能根据思政品德养成规律选用灵活适当的教学方法；信息技术手段运用合理，正确选择使用各种富媒体，教学辅助效果好。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ind w:left="691" w:right="68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1260" w:type="dxa"/>
          </w:tcPr>
          <w:p>
            <w:pPr>
              <w:pStyle w:val="13"/>
              <w:spacing w:before="8"/>
              <w:rPr>
                <w:sz w:val="33"/>
                <w:lang w:eastAsia="en-US"/>
              </w:rPr>
            </w:pPr>
          </w:p>
          <w:p>
            <w:pPr>
              <w:pStyle w:val="13"/>
              <w:spacing w:before="1"/>
              <w:ind w:left="126" w:right="12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教学成效</w:t>
            </w:r>
          </w:p>
        </w:tc>
        <w:tc>
          <w:tcPr>
            <w:tcW w:w="5948" w:type="dxa"/>
          </w:tcPr>
          <w:p>
            <w:pPr>
              <w:pStyle w:val="13"/>
              <w:spacing w:before="119" w:line="242" w:lineRule="auto"/>
              <w:ind w:left="107" w:right="307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增强对马克思主义基本理论和党的创新理论的认同，坚定“四个自信”，能帮助学生树立正确的世界观、人生观和价值观，使学生有获得感。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spacing w:before="1"/>
              <w:ind w:left="691" w:right="68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260" w:type="dxa"/>
          </w:tcPr>
          <w:p>
            <w:pPr>
              <w:pStyle w:val="13"/>
              <w:spacing w:before="3"/>
              <w:rPr>
                <w:sz w:val="32"/>
                <w:lang w:eastAsia="en-US"/>
              </w:rPr>
            </w:pPr>
          </w:p>
          <w:p>
            <w:pPr>
              <w:pStyle w:val="13"/>
              <w:ind w:left="126" w:right="12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教学特色</w:t>
            </w:r>
          </w:p>
        </w:tc>
        <w:tc>
          <w:tcPr>
            <w:tcW w:w="5948" w:type="dxa"/>
          </w:tcPr>
          <w:p>
            <w:pPr>
              <w:pStyle w:val="13"/>
              <w:rPr>
                <w:sz w:val="20"/>
                <w:lang w:eastAsia="zh-CN"/>
              </w:rPr>
            </w:pPr>
          </w:p>
          <w:p>
            <w:pPr>
              <w:pStyle w:val="13"/>
              <w:spacing w:before="1" w:line="242" w:lineRule="auto"/>
              <w:ind w:left="107" w:right="308" w:firstLine="4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在课程目标、教学内容、教学设计等方面有亮点新意。</w:t>
            </w:r>
          </w:p>
        </w:tc>
        <w:tc>
          <w:tcPr>
            <w:tcW w:w="2028" w:type="dxa"/>
            <w:vAlign w:val="center"/>
          </w:tcPr>
          <w:p>
            <w:pPr>
              <w:pStyle w:val="13"/>
              <w:spacing w:before="1"/>
              <w:ind w:left="691" w:right="68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</w:tr>
    </w:tbl>
    <w:p>
      <w:pPr>
        <w:spacing w:line="400" w:lineRule="exact"/>
        <w:rPr>
          <w:rFonts w:eastAsia="方正黑体_GBK"/>
          <w:bCs/>
          <w:szCs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 w:cs="Times New Roman"/>
          <w:color w:val="000000"/>
          <w:sz w:val="32"/>
          <w:szCs w:val="32"/>
        </w:rPr>
      </w:pPr>
    </w:p>
    <w:sectPr>
      <w:pgSz w:w="11906" w:h="16838"/>
      <w:pgMar w:top="1134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00"/>
    <w:rsid w:val="00017196"/>
    <w:rsid w:val="00044E53"/>
    <w:rsid w:val="0009187F"/>
    <w:rsid w:val="000D2D8F"/>
    <w:rsid w:val="00142733"/>
    <w:rsid w:val="00162E37"/>
    <w:rsid w:val="00180547"/>
    <w:rsid w:val="001C06FC"/>
    <w:rsid w:val="001F4256"/>
    <w:rsid w:val="00231E8F"/>
    <w:rsid w:val="00276C8B"/>
    <w:rsid w:val="002C5D3B"/>
    <w:rsid w:val="0030683E"/>
    <w:rsid w:val="00357EB6"/>
    <w:rsid w:val="003A5C7E"/>
    <w:rsid w:val="003B70A8"/>
    <w:rsid w:val="004103B8"/>
    <w:rsid w:val="004253B3"/>
    <w:rsid w:val="004370C1"/>
    <w:rsid w:val="004376B2"/>
    <w:rsid w:val="00472E76"/>
    <w:rsid w:val="004A1990"/>
    <w:rsid w:val="004F2DCF"/>
    <w:rsid w:val="0050566F"/>
    <w:rsid w:val="00550B2D"/>
    <w:rsid w:val="005708D5"/>
    <w:rsid w:val="005A1E08"/>
    <w:rsid w:val="005B06D2"/>
    <w:rsid w:val="005E0972"/>
    <w:rsid w:val="00612858"/>
    <w:rsid w:val="00653EB4"/>
    <w:rsid w:val="00683048"/>
    <w:rsid w:val="00711738"/>
    <w:rsid w:val="0071401C"/>
    <w:rsid w:val="00744887"/>
    <w:rsid w:val="007450D6"/>
    <w:rsid w:val="007E4839"/>
    <w:rsid w:val="007E4B46"/>
    <w:rsid w:val="00820124"/>
    <w:rsid w:val="00823412"/>
    <w:rsid w:val="008429A1"/>
    <w:rsid w:val="008474C5"/>
    <w:rsid w:val="00863018"/>
    <w:rsid w:val="008D3FAB"/>
    <w:rsid w:val="008F7333"/>
    <w:rsid w:val="00947D4B"/>
    <w:rsid w:val="00954041"/>
    <w:rsid w:val="00985DC6"/>
    <w:rsid w:val="009D0AE1"/>
    <w:rsid w:val="00A143FA"/>
    <w:rsid w:val="00AA27DC"/>
    <w:rsid w:val="00AB34FC"/>
    <w:rsid w:val="00AF4EFD"/>
    <w:rsid w:val="00B35BCA"/>
    <w:rsid w:val="00B94DC9"/>
    <w:rsid w:val="00BA69A1"/>
    <w:rsid w:val="00BC15CC"/>
    <w:rsid w:val="00BD27D8"/>
    <w:rsid w:val="00BF1C00"/>
    <w:rsid w:val="00C25ACA"/>
    <w:rsid w:val="00C43349"/>
    <w:rsid w:val="00C6621D"/>
    <w:rsid w:val="00C75E2E"/>
    <w:rsid w:val="00CC633F"/>
    <w:rsid w:val="00CD4582"/>
    <w:rsid w:val="00CE1DAA"/>
    <w:rsid w:val="00CE32C0"/>
    <w:rsid w:val="00D35A00"/>
    <w:rsid w:val="00D43ED3"/>
    <w:rsid w:val="00D73994"/>
    <w:rsid w:val="00D813E5"/>
    <w:rsid w:val="00DB3754"/>
    <w:rsid w:val="00DF1208"/>
    <w:rsid w:val="00E01447"/>
    <w:rsid w:val="00E46123"/>
    <w:rsid w:val="00E62A7B"/>
    <w:rsid w:val="00EB3D5A"/>
    <w:rsid w:val="00EE26B3"/>
    <w:rsid w:val="00EE6555"/>
    <w:rsid w:val="00F2630D"/>
    <w:rsid w:val="00F33B0F"/>
    <w:rsid w:val="00FE7FF5"/>
    <w:rsid w:val="070F5A04"/>
    <w:rsid w:val="281002AB"/>
    <w:rsid w:val="296808E3"/>
    <w:rsid w:val="2ED346E2"/>
    <w:rsid w:val="4AD95871"/>
    <w:rsid w:val="53A71012"/>
    <w:rsid w:val="58587323"/>
    <w:rsid w:val="5C9C2CDB"/>
    <w:rsid w:val="7C9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6"/>
    <w:link w:val="2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212</Words>
  <Characters>1210</Characters>
  <Lines>10</Lines>
  <Paragraphs>2</Paragraphs>
  <TotalTime>174</TotalTime>
  <ScaleCrop>false</ScaleCrop>
  <LinksUpToDate>false</LinksUpToDate>
  <CharactersWithSpaces>1420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2022-02-18T07:07:00Z</dcterms:created>
  <dc:creator>徐 文立</dc:creator>
  <cp:lastModifiedBy>方学礼(fangxl)</cp:lastModifiedBy>
  <dcterms:modified xsi:type="dcterms:W3CDTF">2022-09-23T00:31:57Z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B676B3FD036347739AC05675AD0ADFE6</vt:lpwstr>
  </property>
</Properties>
</file>